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B00E0" w14:textId="77777777" w:rsidR="00235573" w:rsidRPr="00374FA1" w:rsidRDefault="00074A5F" w:rsidP="00235573">
      <w:pPr>
        <w:tabs>
          <w:tab w:val="left" w:pos="5040"/>
        </w:tabs>
        <w:spacing w:after="0" w:line="240" w:lineRule="auto"/>
        <w:rPr>
          <w:rFonts w:ascii="Arial" w:eastAsia="Times New Roman" w:hAnsi="Arial" w:cs="Arial"/>
        </w:rPr>
      </w:pPr>
      <w:r w:rsidRPr="00374FA1">
        <w:rPr>
          <w:rFonts w:ascii="Arial" w:eastAsia="Times New Roman" w:hAnsi="Arial" w:cs="Arial"/>
          <w:b/>
        </w:rPr>
        <w:t>For immediate release</w:t>
      </w:r>
      <w:r w:rsidRPr="00374FA1">
        <w:rPr>
          <w:rFonts w:ascii="Arial" w:eastAsia="Times New Roman" w:hAnsi="Arial" w:cs="Arial"/>
          <w:b/>
        </w:rPr>
        <w:tab/>
      </w:r>
    </w:p>
    <w:p w14:paraId="49E96ED1" w14:textId="66ACA6D9" w:rsidR="00C27DF9" w:rsidRPr="00374FA1" w:rsidRDefault="00E6426F" w:rsidP="00CC2AEE">
      <w:pPr>
        <w:tabs>
          <w:tab w:val="left" w:pos="61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374FA1">
        <w:rPr>
          <w:rFonts w:ascii="Arial" w:eastAsia="Times New Roman" w:hAnsi="Arial" w:cs="Arial"/>
        </w:rPr>
        <w:t>&lt;</w:t>
      </w:r>
      <w:r w:rsidR="00CC2AEE" w:rsidRPr="00374FA1">
        <w:rPr>
          <w:rFonts w:ascii="Arial" w:eastAsia="Times New Roman" w:hAnsi="Arial" w:cs="Arial"/>
          <w:color w:val="00B0F0"/>
        </w:rPr>
        <w:t>XXXX</w:t>
      </w:r>
      <w:r w:rsidRPr="00374FA1">
        <w:rPr>
          <w:rFonts w:ascii="Arial" w:eastAsia="Times New Roman" w:hAnsi="Arial" w:cs="Arial"/>
        </w:rPr>
        <w:t>&gt;</w:t>
      </w:r>
      <w:r w:rsidR="00956DF3" w:rsidRPr="00374FA1">
        <w:rPr>
          <w:rFonts w:ascii="Arial" w:eastAsia="Times New Roman" w:hAnsi="Arial" w:cs="Arial"/>
        </w:rPr>
        <w:t xml:space="preserve">, </w:t>
      </w:r>
      <w:r w:rsidR="00AA0B13" w:rsidRPr="00374FA1">
        <w:rPr>
          <w:rFonts w:ascii="Arial" w:eastAsia="Times New Roman" w:hAnsi="Arial" w:cs="Arial"/>
        </w:rPr>
        <w:t>2021</w:t>
      </w:r>
    </w:p>
    <w:p w14:paraId="637AA7ED" w14:textId="01E255CB" w:rsidR="000354BD" w:rsidRPr="00374FA1" w:rsidRDefault="000354BD" w:rsidP="000354BD">
      <w:pPr>
        <w:tabs>
          <w:tab w:val="left" w:pos="6120"/>
        </w:tabs>
        <w:spacing w:after="0" w:line="240" w:lineRule="auto"/>
        <w:ind w:left="2880" w:hanging="2880"/>
        <w:jc w:val="both"/>
        <w:rPr>
          <w:rFonts w:ascii="Arial" w:eastAsia="Times New Roman" w:hAnsi="Arial" w:cs="Arial"/>
        </w:rPr>
      </w:pPr>
    </w:p>
    <w:p w14:paraId="63020CE2" w14:textId="77777777" w:rsidR="00D70B83" w:rsidRPr="00374FA1" w:rsidRDefault="00D70B83" w:rsidP="000354BD">
      <w:pPr>
        <w:tabs>
          <w:tab w:val="left" w:pos="6120"/>
        </w:tabs>
        <w:spacing w:after="0" w:line="240" w:lineRule="auto"/>
        <w:ind w:left="2880" w:hanging="2880"/>
        <w:jc w:val="both"/>
        <w:rPr>
          <w:rFonts w:ascii="Arial" w:eastAsia="Times New Roman" w:hAnsi="Arial" w:cs="Arial"/>
        </w:rPr>
      </w:pPr>
    </w:p>
    <w:p w14:paraId="2B569429" w14:textId="3D7B4C4B" w:rsidR="00D70B83" w:rsidRPr="00374FA1" w:rsidRDefault="00D70B83" w:rsidP="00D70B83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374FA1">
        <w:rPr>
          <w:rFonts w:ascii="Arial" w:hAnsi="Arial" w:cs="Arial"/>
          <w:b/>
          <w:sz w:val="28"/>
          <w:szCs w:val="24"/>
        </w:rPr>
        <w:t>FDA Approves Treatment for Patients Suffering from Long-Standing Persistent Atrial Fibrillation</w:t>
      </w:r>
    </w:p>
    <w:p w14:paraId="324B66FB" w14:textId="77777777" w:rsidR="00043250" w:rsidRPr="00374FA1" w:rsidRDefault="00043250" w:rsidP="000354BD">
      <w:pPr>
        <w:tabs>
          <w:tab w:val="left" w:pos="6120"/>
        </w:tabs>
        <w:spacing w:after="0" w:line="240" w:lineRule="auto"/>
        <w:ind w:left="2880" w:hanging="2880"/>
        <w:jc w:val="both"/>
        <w:rPr>
          <w:rFonts w:ascii="Arial" w:eastAsia="Times New Roman" w:hAnsi="Arial" w:cs="Arial"/>
        </w:rPr>
      </w:pPr>
    </w:p>
    <w:p w14:paraId="1BC30DBC" w14:textId="7BCDE7BD" w:rsidR="00EF3957" w:rsidRPr="00374FA1" w:rsidRDefault="00EF3957" w:rsidP="00EF3957">
      <w:pPr>
        <w:spacing w:after="0"/>
        <w:jc w:val="center"/>
        <w:rPr>
          <w:rFonts w:ascii="Arial" w:hAnsi="Arial" w:cs="Arial"/>
          <w:i/>
        </w:rPr>
      </w:pPr>
      <w:bookmarkStart w:id="0" w:name="_Hlk14165396"/>
      <w:r w:rsidRPr="00374FA1">
        <w:rPr>
          <w:rFonts w:ascii="Arial" w:hAnsi="Arial" w:cs="Arial"/>
          <w:i/>
        </w:rPr>
        <w:t>This is the only FDA approval of its kind</w:t>
      </w:r>
      <w:r w:rsidR="00E70D08">
        <w:rPr>
          <w:rFonts w:ascii="Arial" w:hAnsi="Arial" w:cs="Arial"/>
          <w:i/>
        </w:rPr>
        <w:t>—</w:t>
      </w:r>
      <w:r w:rsidRPr="00374FA1">
        <w:rPr>
          <w:rFonts w:ascii="Arial" w:hAnsi="Arial" w:cs="Arial"/>
          <w:i/>
        </w:rPr>
        <w:t>minimally invasive ablation therapy</w:t>
      </w:r>
      <w:r w:rsidR="00E70D08">
        <w:rPr>
          <w:rFonts w:ascii="Arial" w:hAnsi="Arial" w:cs="Arial"/>
          <w:i/>
        </w:rPr>
        <w:t>—</w:t>
      </w:r>
      <w:r w:rsidRPr="00374FA1">
        <w:rPr>
          <w:rFonts w:ascii="Arial" w:hAnsi="Arial" w:cs="Arial"/>
          <w:i/>
        </w:rPr>
        <w:t xml:space="preserve">for more than 3.5 million patients in the United States with long-standing persistent atrial fibrillation (AF). </w:t>
      </w:r>
    </w:p>
    <w:p w14:paraId="24F29DB8" w14:textId="77777777" w:rsidR="00EF3957" w:rsidRPr="00374FA1" w:rsidRDefault="00EF3957" w:rsidP="00EF3957">
      <w:pPr>
        <w:spacing w:after="0"/>
        <w:jc w:val="center"/>
        <w:rPr>
          <w:rFonts w:ascii="Arial" w:hAnsi="Arial" w:cs="Arial"/>
          <w:i/>
        </w:rPr>
      </w:pPr>
      <w:r w:rsidRPr="00374FA1">
        <w:rPr>
          <w:rFonts w:ascii="Arial" w:hAnsi="Arial" w:cs="Arial"/>
          <w:i/>
        </w:rPr>
        <w:t xml:space="preserve">It significantly expands AF treatment options for this category of AF patients. </w:t>
      </w:r>
    </w:p>
    <w:p w14:paraId="583E4CDA" w14:textId="77777777" w:rsidR="006B17B4" w:rsidRPr="00374FA1" w:rsidRDefault="006B17B4" w:rsidP="006B17B4">
      <w:pPr>
        <w:spacing w:after="0"/>
        <w:jc w:val="center"/>
        <w:rPr>
          <w:rFonts w:ascii="Arial" w:hAnsi="Arial" w:cs="Arial"/>
          <w:i/>
        </w:rPr>
      </w:pPr>
      <w:r w:rsidRPr="00374FA1">
        <w:rPr>
          <w:rFonts w:ascii="Arial" w:hAnsi="Arial" w:cs="Arial"/>
          <w:i/>
        </w:rPr>
        <w:t>With this therapy, the superiority trial showed a 35% difference in effectiveness at 18 months compared to endocardial RF ablation alone.</w:t>
      </w:r>
    </w:p>
    <w:p w14:paraId="4D7A7B15" w14:textId="77777777" w:rsidR="003D23FE" w:rsidRPr="00374FA1" w:rsidRDefault="003D23FE" w:rsidP="003D23FE">
      <w:pPr>
        <w:pStyle w:val="NoSpacing"/>
        <w:rPr>
          <w:rFonts w:ascii="Arial" w:hAnsi="Arial" w:cs="Arial"/>
        </w:rPr>
      </w:pPr>
    </w:p>
    <w:p w14:paraId="14203171" w14:textId="6ED0A1E1" w:rsidR="0066207D" w:rsidRPr="00374FA1" w:rsidRDefault="003D23FE" w:rsidP="003D23FE">
      <w:pPr>
        <w:pStyle w:val="NoSpacing"/>
        <w:rPr>
          <w:rFonts w:ascii="Arial" w:hAnsi="Arial" w:cs="Arial"/>
        </w:rPr>
      </w:pPr>
      <w:r w:rsidRPr="00374FA1">
        <w:rPr>
          <w:rFonts w:ascii="Arial" w:hAnsi="Arial" w:cs="Arial"/>
        </w:rPr>
        <w:t xml:space="preserve">The U.S. Food and Drug Administration (FDA) has approved the </w:t>
      </w:r>
      <w:proofErr w:type="spellStart"/>
      <w:r w:rsidRPr="00374FA1">
        <w:rPr>
          <w:rFonts w:ascii="Arial" w:hAnsi="Arial" w:cs="Arial"/>
        </w:rPr>
        <w:t>EPi</w:t>
      </w:r>
      <w:proofErr w:type="spellEnd"/>
      <w:r w:rsidRPr="00374FA1">
        <w:rPr>
          <w:rFonts w:ascii="Arial" w:hAnsi="Arial" w:cs="Arial"/>
        </w:rPr>
        <w:t xml:space="preserve">-Sense® System to treat patients diagnosed with long-standing persistent atrial fibrillation (AF).  </w:t>
      </w:r>
      <w:r w:rsidR="009C1BBE" w:rsidRPr="00374FA1">
        <w:rPr>
          <w:rFonts w:ascii="Arial" w:hAnsi="Arial" w:cs="Arial"/>
        </w:rPr>
        <w:t xml:space="preserve">We at </w:t>
      </w:r>
      <w:r w:rsidR="002D7516" w:rsidRPr="00374FA1">
        <w:rPr>
          <w:rFonts w:ascii="Arial" w:hAnsi="Arial" w:cs="Arial"/>
        </w:rPr>
        <w:t>&lt;</w:t>
      </w:r>
      <w:r w:rsidR="002D7516" w:rsidRPr="00374FA1">
        <w:rPr>
          <w:rFonts w:ascii="Arial" w:hAnsi="Arial" w:cs="Arial"/>
          <w:color w:val="00B0F0"/>
        </w:rPr>
        <w:t>HOSPITAL NAME</w:t>
      </w:r>
      <w:r w:rsidR="002D7516" w:rsidRPr="00374FA1">
        <w:rPr>
          <w:rFonts w:ascii="Arial" w:hAnsi="Arial" w:cs="Arial"/>
        </w:rPr>
        <w:t xml:space="preserve">&gt; </w:t>
      </w:r>
      <w:r w:rsidR="00C8039A" w:rsidRPr="00374FA1">
        <w:rPr>
          <w:rFonts w:ascii="Arial" w:hAnsi="Arial" w:cs="Arial"/>
        </w:rPr>
        <w:t xml:space="preserve">are pleased to announce that we </w:t>
      </w:r>
      <w:r w:rsidR="009F6D0C" w:rsidRPr="00374FA1">
        <w:rPr>
          <w:rFonts w:ascii="Arial" w:hAnsi="Arial" w:cs="Arial"/>
        </w:rPr>
        <w:t>offer this therapy to treat long-standing persistent AF patients, who until now had very few treatment options.</w:t>
      </w:r>
    </w:p>
    <w:p w14:paraId="4FABAC0E" w14:textId="77777777" w:rsidR="009F6D0C" w:rsidRPr="00374FA1" w:rsidRDefault="009F6D0C" w:rsidP="000C5F6F">
      <w:pPr>
        <w:pStyle w:val="NoSpacing"/>
        <w:rPr>
          <w:rFonts w:ascii="Arial" w:hAnsi="Arial" w:cs="Arial"/>
        </w:rPr>
      </w:pPr>
    </w:p>
    <w:bookmarkEnd w:id="0"/>
    <w:p w14:paraId="4599B9E4" w14:textId="765FE605" w:rsidR="00D70B83" w:rsidRPr="00374FA1" w:rsidRDefault="00D70B83" w:rsidP="00D70B83">
      <w:pPr>
        <w:pStyle w:val="NoSpacing"/>
        <w:rPr>
          <w:rFonts w:ascii="Arial" w:hAnsi="Arial" w:cs="Arial"/>
        </w:rPr>
      </w:pPr>
      <w:r w:rsidRPr="00374FA1">
        <w:rPr>
          <w:rFonts w:ascii="Arial" w:hAnsi="Arial" w:cs="Arial"/>
        </w:rPr>
        <w:t>The minimally invasive Hybrid AF</w:t>
      </w:r>
      <w:r w:rsidR="005270BC" w:rsidRPr="00374FA1">
        <w:rPr>
          <w:rFonts w:ascii="Arial" w:hAnsi="Arial" w:cs="Arial"/>
        </w:rPr>
        <w:t>™</w:t>
      </w:r>
      <w:r w:rsidRPr="00374FA1">
        <w:rPr>
          <w:rFonts w:ascii="Arial" w:hAnsi="Arial" w:cs="Arial"/>
        </w:rPr>
        <w:t xml:space="preserve"> Convergent procedure involves epicardial (outside of the heart) ablation plus endocardial (inside of the heart) radiofrequency (RF) ablation—thereby treating </w:t>
      </w:r>
      <w:r w:rsidR="000D757B">
        <w:rPr>
          <w:rFonts w:ascii="Arial" w:hAnsi="Arial" w:cs="Arial"/>
        </w:rPr>
        <w:t xml:space="preserve">2 key trigger </w:t>
      </w:r>
      <w:r w:rsidRPr="00374FA1">
        <w:rPr>
          <w:rFonts w:ascii="Arial" w:hAnsi="Arial" w:cs="Arial"/>
        </w:rPr>
        <w:t>areas where AF can begin.  The CONVERGE IDE clinical trial demonstrated superiority in the Hybrid AF Convergent arm compared to endocardial RF catheter ablation, showing a 35% difference at 18 months in long-standing persistent AF patients.  There was also a 37% improvement in AF burden (</w:t>
      </w:r>
      <w:r w:rsidR="007A4E11" w:rsidRPr="00374FA1">
        <w:rPr>
          <w:rFonts w:ascii="Arial" w:hAnsi="Arial" w:cs="Arial"/>
        </w:rPr>
        <w:t xml:space="preserve">at </w:t>
      </w:r>
      <w:r w:rsidRPr="00374FA1">
        <w:rPr>
          <w:rFonts w:ascii="Arial" w:hAnsi="Arial" w:cs="Arial"/>
        </w:rPr>
        <w:t xml:space="preserve">18 months) in favor of the Hybrid AF Convergent procedure.  </w:t>
      </w:r>
    </w:p>
    <w:p w14:paraId="357D3985" w14:textId="77777777" w:rsidR="00D70B83" w:rsidRPr="00374FA1" w:rsidRDefault="00D70B83" w:rsidP="00D70B83">
      <w:pPr>
        <w:pStyle w:val="NoSpacing"/>
        <w:rPr>
          <w:rFonts w:ascii="Arial" w:hAnsi="Arial" w:cs="Arial"/>
        </w:rPr>
      </w:pPr>
    </w:p>
    <w:p w14:paraId="5739085C" w14:textId="77777777" w:rsidR="004A362E" w:rsidRPr="00374FA1" w:rsidRDefault="004A362E" w:rsidP="004A362E">
      <w:pPr>
        <w:pStyle w:val="NoSpacing"/>
        <w:rPr>
          <w:rFonts w:ascii="Arial" w:hAnsi="Arial" w:cs="Arial"/>
        </w:rPr>
      </w:pPr>
      <w:r w:rsidRPr="00374FA1">
        <w:rPr>
          <w:rFonts w:ascii="Arial" w:hAnsi="Arial" w:cs="Arial"/>
        </w:rPr>
        <w:t>One in 4 adults over age 40 will develop atrial fibrillation in their lifetime.</w:t>
      </w:r>
      <w:r w:rsidRPr="00374FA1">
        <w:rPr>
          <w:rFonts w:ascii="Arial" w:hAnsi="Arial" w:cs="Arial"/>
          <w:vertAlign w:val="superscript"/>
        </w:rPr>
        <w:t>1</w:t>
      </w:r>
      <w:r w:rsidRPr="00374FA1">
        <w:rPr>
          <w:rFonts w:ascii="Arial" w:hAnsi="Arial" w:cs="Arial"/>
        </w:rPr>
        <w:t xml:space="preserve">  AF affects about 33 million people worldwide,</w:t>
      </w:r>
      <w:r w:rsidRPr="00374FA1">
        <w:rPr>
          <w:rFonts w:ascii="Arial" w:hAnsi="Arial" w:cs="Arial"/>
          <w:vertAlign w:val="superscript"/>
        </w:rPr>
        <w:t>2</w:t>
      </w:r>
      <w:r w:rsidRPr="00374FA1">
        <w:rPr>
          <w:rFonts w:ascii="Arial" w:hAnsi="Arial" w:cs="Arial"/>
        </w:rPr>
        <w:t xml:space="preserve"> and about 8 million people in the U.S.</w:t>
      </w:r>
      <w:r w:rsidRPr="00374FA1">
        <w:rPr>
          <w:rFonts w:ascii="Arial" w:hAnsi="Arial" w:cs="Arial"/>
          <w:vertAlign w:val="superscript"/>
        </w:rPr>
        <w:t>3</w:t>
      </w:r>
      <w:r w:rsidRPr="00374FA1">
        <w:rPr>
          <w:rFonts w:ascii="Arial" w:hAnsi="Arial" w:cs="Arial"/>
        </w:rPr>
        <w:t xml:space="preserve">  It also increases a person's risk of stroke and heart failure, and it is linked with increased risk of mortality. </w:t>
      </w:r>
    </w:p>
    <w:p w14:paraId="4202869E" w14:textId="77777777" w:rsidR="004A362E" w:rsidRPr="00374FA1" w:rsidRDefault="004A362E" w:rsidP="004A362E">
      <w:pPr>
        <w:pStyle w:val="NoSpacing"/>
        <w:rPr>
          <w:rFonts w:ascii="Arial" w:hAnsi="Arial" w:cs="Arial"/>
        </w:rPr>
      </w:pPr>
      <w:r w:rsidRPr="00374FA1" w:rsidDel="00334F65">
        <w:rPr>
          <w:rFonts w:ascii="Arial" w:hAnsi="Arial" w:cs="Arial"/>
        </w:rPr>
        <w:t xml:space="preserve"> </w:t>
      </w:r>
    </w:p>
    <w:p w14:paraId="75F32307" w14:textId="13BB1884" w:rsidR="004A362E" w:rsidRPr="00374FA1" w:rsidRDefault="002C60A8" w:rsidP="004A362E">
      <w:pPr>
        <w:pStyle w:val="NoSpacing"/>
        <w:rPr>
          <w:rFonts w:ascii="Arial" w:hAnsi="Arial" w:cs="Arial"/>
        </w:rPr>
      </w:pPr>
      <w:r w:rsidRPr="00374FA1">
        <w:rPr>
          <w:rFonts w:ascii="Arial" w:hAnsi="Arial" w:cs="Arial"/>
        </w:rPr>
        <w:t>Approximately 45% of AF patients have long-standing persistent AF, affecting more than 3.5 million patients in the United States</w:t>
      </w:r>
      <w:r w:rsidR="004A362E" w:rsidRPr="00374FA1">
        <w:rPr>
          <w:rFonts w:ascii="Arial" w:hAnsi="Arial" w:cs="Arial"/>
        </w:rPr>
        <w:t>.</w:t>
      </w:r>
      <w:r w:rsidR="004A362E" w:rsidRPr="00374FA1">
        <w:rPr>
          <w:rFonts w:ascii="Arial" w:hAnsi="Arial" w:cs="Arial"/>
          <w:vertAlign w:val="superscript"/>
        </w:rPr>
        <w:t>3</w:t>
      </w:r>
      <w:r w:rsidR="004A362E" w:rsidRPr="00374FA1">
        <w:rPr>
          <w:rFonts w:ascii="Arial" w:hAnsi="Arial" w:cs="Arial"/>
        </w:rPr>
        <w:t xml:space="preserve">  “Given that these patients have no other comparable treatment options today, our electrophysiology practice will now offer the Hybrid AF Convergent procedure,” said &lt;</w:t>
      </w:r>
      <w:r w:rsidR="004A362E" w:rsidRPr="00374FA1">
        <w:rPr>
          <w:rFonts w:ascii="Arial" w:hAnsi="Arial" w:cs="Arial"/>
          <w:color w:val="00B0F0"/>
        </w:rPr>
        <w:t>HOSPITAL MD, TITLE</w:t>
      </w:r>
      <w:r w:rsidR="004A362E" w:rsidRPr="00374FA1">
        <w:rPr>
          <w:rFonts w:ascii="Arial" w:hAnsi="Arial" w:cs="Arial"/>
        </w:rPr>
        <w:t xml:space="preserve">&gt;.  </w:t>
      </w:r>
    </w:p>
    <w:p w14:paraId="0B93B643" w14:textId="77777777" w:rsidR="004A362E" w:rsidRPr="00374FA1" w:rsidRDefault="004A362E" w:rsidP="004A362E">
      <w:pPr>
        <w:pStyle w:val="NoSpacing"/>
        <w:rPr>
          <w:rFonts w:ascii="Arial" w:hAnsi="Arial" w:cs="Arial"/>
        </w:rPr>
      </w:pPr>
    </w:p>
    <w:p w14:paraId="3CC3DF6A" w14:textId="49FBA1C1" w:rsidR="004A362E" w:rsidRPr="00374FA1" w:rsidRDefault="00EF3957" w:rsidP="004A362E">
      <w:pPr>
        <w:pStyle w:val="CommentText"/>
        <w:tabs>
          <w:tab w:val="left" w:pos="9018"/>
        </w:tabs>
        <w:rPr>
          <w:rFonts w:ascii="Arial" w:hAnsi="Arial" w:cs="Arial"/>
          <w:sz w:val="22"/>
          <w:szCs w:val="22"/>
        </w:rPr>
      </w:pPr>
      <w:r w:rsidRPr="00374FA1">
        <w:rPr>
          <w:rFonts w:ascii="Arial" w:hAnsi="Arial" w:cs="Arial"/>
          <w:sz w:val="22"/>
          <w:szCs w:val="22"/>
        </w:rPr>
        <w:t xml:space="preserve">The Hybrid AF Convergent procedure is the only proven minimally invasive ablation therapy to treat </w:t>
      </w:r>
      <w:r w:rsidR="004A362E" w:rsidRPr="00374FA1">
        <w:rPr>
          <w:rFonts w:ascii="Arial" w:hAnsi="Arial" w:cs="Arial"/>
          <w:sz w:val="22"/>
          <w:szCs w:val="22"/>
        </w:rPr>
        <w:t xml:space="preserve">patients who have been in AF for more than one year.    </w:t>
      </w:r>
    </w:p>
    <w:p w14:paraId="415EAC64" w14:textId="77777777" w:rsidR="004A362E" w:rsidRPr="00374FA1" w:rsidRDefault="004A362E" w:rsidP="004A362E">
      <w:pPr>
        <w:pStyle w:val="CommentText"/>
        <w:tabs>
          <w:tab w:val="left" w:pos="9018"/>
        </w:tabs>
        <w:rPr>
          <w:rFonts w:ascii="Arial" w:hAnsi="Arial" w:cs="Arial"/>
          <w:b/>
          <w:bCs/>
          <w:sz w:val="22"/>
          <w:szCs w:val="22"/>
        </w:rPr>
      </w:pPr>
      <w:r w:rsidRPr="00374FA1">
        <w:rPr>
          <w:rFonts w:ascii="Arial" w:hAnsi="Arial" w:cs="Arial"/>
          <w:b/>
          <w:bCs/>
          <w:sz w:val="22"/>
          <w:szCs w:val="22"/>
        </w:rPr>
        <w:t>18-Month Data Reveal Durability</w:t>
      </w:r>
    </w:p>
    <w:p w14:paraId="15F92FA4" w14:textId="3D9140E6" w:rsidR="00CC736A" w:rsidRDefault="00D70B83" w:rsidP="00CC736A">
      <w:pPr>
        <w:pStyle w:val="CommentText"/>
        <w:tabs>
          <w:tab w:val="left" w:pos="9018"/>
        </w:tabs>
        <w:rPr>
          <w:rFonts w:ascii="Arial" w:hAnsi="Arial" w:cs="Arial"/>
          <w:sz w:val="22"/>
          <w:szCs w:val="22"/>
        </w:rPr>
      </w:pPr>
      <w:r w:rsidRPr="00374FA1">
        <w:rPr>
          <w:rFonts w:ascii="Arial" w:hAnsi="Arial" w:cs="Arial"/>
          <w:sz w:val="22"/>
          <w:szCs w:val="22"/>
        </w:rPr>
        <w:t xml:space="preserve">Both 12-month (Table 1) and 18-month (Table 2) data from the CONVERGE IDE trial show that the Hybrid AF Convergent procedure provides durable, long-lasting efficacy.  In the Hybrid AF Convergent arm, 61% of patients were free from all arrhythmias at 18 months, versus 26% of the patients treated with endocardial RF catheter ablation alone.  Moreover, 68% of patients in the Hybrid AF Convergent arm were free from AF, versus 30% in the catheter ablation arm.  </w:t>
      </w:r>
    </w:p>
    <w:p w14:paraId="08737C0B" w14:textId="77777777" w:rsidR="000A1A07" w:rsidRPr="00374FA1" w:rsidRDefault="000A1A07" w:rsidP="00CC736A">
      <w:pPr>
        <w:pStyle w:val="CommentText"/>
        <w:tabs>
          <w:tab w:val="left" w:pos="9018"/>
        </w:tabs>
        <w:rPr>
          <w:rFonts w:ascii="Arial" w:hAnsi="Arial" w:cs="Arial"/>
          <w:sz w:val="22"/>
          <w:szCs w:val="22"/>
        </w:rPr>
      </w:pPr>
    </w:p>
    <w:p w14:paraId="56DE90F6" w14:textId="42743D0A" w:rsidR="00D70B83" w:rsidRPr="00374FA1" w:rsidRDefault="00D70B83" w:rsidP="00CC736A">
      <w:pPr>
        <w:pStyle w:val="CommentText"/>
        <w:tabs>
          <w:tab w:val="left" w:pos="9018"/>
        </w:tabs>
        <w:rPr>
          <w:rFonts w:ascii="Arial" w:hAnsi="Arial" w:cs="Arial"/>
          <w:sz w:val="22"/>
          <w:szCs w:val="22"/>
        </w:rPr>
      </w:pPr>
      <w:r w:rsidRPr="00374FA1">
        <w:rPr>
          <w:rFonts w:ascii="Arial" w:hAnsi="Arial" w:cs="Arial"/>
          <w:sz w:val="22"/>
          <w:szCs w:val="22"/>
        </w:rPr>
        <w:lastRenderedPageBreak/>
        <w:t xml:space="preserve">“These 18-month results are incredible and demonstrate the durability of the procedure,” said principal investigator David </w:t>
      </w:r>
      <w:proofErr w:type="spellStart"/>
      <w:r w:rsidRPr="00374FA1">
        <w:rPr>
          <w:rFonts w:ascii="Arial" w:hAnsi="Arial" w:cs="Arial"/>
          <w:sz w:val="22"/>
          <w:szCs w:val="22"/>
        </w:rPr>
        <w:t>DeLurgio</w:t>
      </w:r>
      <w:proofErr w:type="spellEnd"/>
      <w:r w:rsidRPr="00374FA1">
        <w:rPr>
          <w:rFonts w:ascii="Arial" w:hAnsi="Arial" w:cs="Arial"/>
          <w:sz w:val="22"/>
          <w:szCs w:val="22"/>
        </w:rPr>
        <w:t xml:space="preserve">, MD.  “This is a key finding from the trial and shows that patients who undergo a Hybrid AF Convergent procedure should expect continued freedom from atrial fibrillation.”  </w:t>
      </w:r>
    </w:p>
    <w:tbl>
      <w:tblPr>
        <w:tblStyle w:val="TableGrid"/>
        <w:tblW w:w="9684" w:type="dxa"/>
        <w:tblLook w:val="04A0" w:firstRow="1" w:lastRow="0" w:firstColumn="1" w:lastColumn="0" w:noHBand="0" w:noVBand="1"/>
      </w:tblPr>
      <w:tblGrid>
        <w:gridCol w:w="3768"/>
        <w:gridCol w:w="2040"/>
        <w:gridCol w:w="2040"/>
        <w:gridCol w:w="1836"/>
      </w:tblGrid>
      <w:tr w:rsidR="003A2B62" w:rsidRPr="00374FA1" w14:paraId="4B9C2232" w14:textId="77777777" w:rsidTr="007A2B84">
        <w:trPr>
          <w:cantSplit/>
          <w:trHeight w:val="747"/>
          <w:tblHeader/>
        </w:trPr>
        <w:tc>
          <w:tcPr>
            <w:tcW w:w="3768" w:type="dxa"/>
            <w:shd w:val="clear" w:color="auto" w:fill="D9D9D9" w:themeFill="background1" w:themeFillShade="D9"/>
            <w:vAlign w:val="center"/>
          </w:tcPr>
          <w:p w14:paraId="36F01C86" w14:textId="77777777" w:rsidR="003A2B62" w:rsidRPr="00374FA1" w:rsidRDefault="003A2B62" w:rsidP="00A302D5">
            <w:pPr>
              <w:jc w:val="center"/>
              <w:rPr>
                <w:rFonts w:ascii="Arial" w:hAnsi="Arial" w:cs="Arial"/>
                <w:b/>
              </w:rPr>
            </w:pPr>
            <w:r w:rsidRPr="00374FA1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34830CA8" w14:textId="77777777" w:rsidR="003A2B62" w:rsidRPr="00374FA1" w:rsidRDefault="003A2B62" w:rsidP="00A30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FA1">
              <w:rPr>
                <w:rFonts w:ascii="Arial" w:hAnsi="Arial" w:cs="Arial"/>
                <w:b/>
                <w:bCs/>
              </w:rPr>
              <w:t>Hybrid AF Convergent Ablation Arm</w:t>
            </w:r>
          </w:p>
          <w:p w14:paraId="228969EA" w14:textId="77777777" w:rsidR="003A2B62" w:rsidRPr="00374FA1" w:rsidRDefault="003A2B62" w:rsidP="00A30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FA1">
              <w:rPr>
                <w:rFonts w:ascii="Arial" w:hAnsi="Arial" w:cs="Arial"/>
                <w:b/>
                <w:bCs/>
              </w:rPr>
              <w:t>(N=38)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0CB10A88" w14:textId="77777777" w:rsidR="003A2B62" w:rsidRPr="00374FA1" w:rsidRDefault="003A2B62" w:rsidP="00A30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FA1">
              <w:rPr>
                <w:rFonts w:ascii="Arial" w:hAnsi="Arial" w:cs="Arial"/>
                <w:b/>
                <w:bCs/>
              </w:rPr>
              <w:t>Endocardial RF Catheter Ablation Arm</w:t>
            </w:r>
          </w:p>
          <w:p w14:paraId="7EEDB2AF" w14:textId="77777777" w:rsidR="003A2B62" w:rsidRPr="00374FA1" w:rsidRDefault="003A2B62" w:rsidP="00A30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FA1">
              <w:rPr>
                <w:rFonts w:ascii="Arial" w:hAnsi="Arial" w:cs="Arial"/>
                <w:b/>
                <w:bCs/>
              </w:rPr>
              <w:t>(N=27)</w:t>
            </w:r>
          </w:p>
        </w:tc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7FECD503" w14:textId="77777777" w:rsidR="003A2B62" w:rsidRPr="00374FA1" w:rsidRDefault="003A2B62" w:rsidP="00A30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FA1">
              <w:rPr>
                <w:rFonts w:ascii="Arial" w:hAnsi="Arial" w:cs="Arial"/>
                <w:b/>
                <w:bCs/>
              </w:rPr>
              <w:t>Difference</w:t>
            </w:r>
          </w:p>
          <w:p w14:paraId="3BB4D498" w14:textId="77777777" w:rsidR="003A2B62" w:rsidRPr="00374FA1" w:rsidRDefault="003A2B62" w:rsidP="00A30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FA1">
              <w:rPr>
                <w:rFonts w:ascii="Arial" w:hAnsi="Arial" w:cs="Arial"/>
                <w:b/>
                <w:bCs/>
              </w:rPr>
              <w:t>(Convergent – Control)</w:t>
            </w:r>
          </w:p>
        </w:tc>
      </w:tr>
      <w:tr w:rsidR="003A2B62" w:rsidRPr="00374FA1" w14:paraId="0AC217FA" w14:textId="77777777" w:rsidTr="007A2B84">
        <w:trPr>
          <w:cantSplit/>
          <w:trHeight w:val="989"/>
        </w:trPr>
        <w:tc>
          <w:tcPr>
            <w:tcW w:w="3768" w:type="dxa"/>
          </w:tcPr>
          <w:p w14:paraId="3FD8A3C4" w14:textId="77777777" w:rsidR="003A2B62" w:rsidRPr="00374FA1" w:rsidRDefault="003A2B62" w:rsidP="00A302D5">
            <w:pPr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 xml:space="preserve">Freedom from AF/AFL/AT from 3-month blanking period through 12 months* </w:t>
            </w:r>
          </w:p>
          <w:p w14:paraId="750F7A9B" w14:textId="77777777" w:rsidR="003A2B62" w:rsidRPr="00374FA1" w:rsidRDefault="003A2B62" w:rsidP="00A302D5">
            <w:pPr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  <w:i/>
              </w:rPr>
              <w:t>n%, (95% Confidence Interval)</w:t>
            </w:r>
          </w:p>
        </w:tc>
        <w:tc>
          <w:tcPr>
            <w:tcW w:w="2040" w:type="dxa"/>
            <w:vAlign w:val="center"/>
          </w:tcPr>
          <w:p w14:paraId="6DDF756E" w14:textId="77777777" w:rsidR="003A2B62" w:rsidRPr="00374FA1" w:rsidRDefault="003A2B62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65.8%</w:t>
            </w:r>
          </w:p>
          <w:p w14:paraId="30A8F72C" w14:textId="77777777" w:rsidR="003A2B62" w:rsidRPr="00374FA1" w:rsidRDefault="003A2B62" w:rsidP="00A302D5">
            <w:pPr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(50.7%, 80.9%)</w:t>
            </w:r>
          </w:p>
        </w:tc>
        <w:tc>
          <w:tcPr>
            <w:tcW w:w="2040" w:type="dxa"/>
            <w:vAlign w:val="center"/>
          </w:tcPr>
          <w:p w14:paraId="5D1F1059" w14:textId="77777777" w:rsidR="003A2B62" w:rsidRPr="00374FA1" w:rsidRDefault="003A2B62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37.0%</w:t>
            </w:r>
          </w:p>
          <w:p w14:paraId="0BC31D79" w14:textId="77777777" w:rsidR="003A2B62" w:rsidRPr="00374FA1" w:rsidRDefault="003A2B62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(18.8%, 55.3%)</w:t>
            </w:r>
          </w:p>
        </w:tc>
        <w:tc>
          <w:tcPr>
            <w:tcW w:w="1836" w:type="dxa"/>
            <w:vAlign w:val="center"/>
          </w:tcPr>
          <w:p w14:paraId="574E5717" w14:textId="77777777" w:rsidR="003A2B62" w:rsidRPr="00374FA1" w:rsidRDefault="003A2B62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 xml:space="preserve">28.8% </w:t>
            </w:r>
          </w:p>
          <w:p w14:paraId="736FE6AB" w14:textId="77777777" w:rsidR="003A2B62" w:rsidRPr="00374FA1" w:rsidRDefault="003A2B62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in favor of Convergent</w:t>
            </w:r>
          </w:p>
        </w:tc>
      </w:tr>
      <w:tr w:rsidR="003A2B62" w:rsidRPr="00374FA1" w14:paraId="7967BF68" w14:textId="77777777" w:rsidTr="007A2B84">
        <w:trPr>
          <w:cantSplit/>
          <w:trHeight w:val="298"/>
        </w:trPr>
        <w:tc>
          <w:tcPr>
            <w:tcW w:w="3768" w:type="dxa"/>
          </w:tcPr>
          <w:p w14:paraId="531E7E07" w14:textId="77777777" w:rsidR="003A2B62" w:rsidRPr="00374FA1" w:rsidRDefault="003A2B62" w:rsidP="00A302D5">
            <w:pPr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  <w:u w:val="single"/>
              </w:rPr>
              <w:t>&gt;</w:t>
            </w:r>
            <w:r w:rsidRPr="00374FA1">
              <w:rPr>
                <w:rFonts w:ascii="Arial" w:hAnsi="Arial" w:cs="Arial"/>
              </w:rPr>
              <w:t>90% burden reduction at 12 months*</w:t>
            </w:r>
          </w:p>
          <w:p w14:paraId="53D5B2D3" w14:textId="77777777" w:rsidR="003A2B62" w:rsidRPr="00374FA1" w:rsidRDefault="003A2B62" w:rsidP="00A302D5">
            <w:pPr>
              <w:rPr>
                <w:rFonts w:ascii="Arial" w:hAnsi="Arial" w:cs="Arial"/>
                <w:i/>
              </w:rPr>
            </w:pPr>
            <w:r w:rsidRPr="00374FA1">
              <w:rPr>
                <w:rFonts w:ascii="Arial" w:hAnsi="Arial" w:cs="Arial"/>
                <w:i/>
              </w:rPr>
              <w:t>n%, (95% Confidence Interval)</w:t>
            </w:r>
          </w:p>
        </w:tc>
        <w:tc>
          <w:tcPr>
            <w:tcW w:w="2040" w:type="dxa"/>
            <w:vAlign w:val="center"/>
          </w:tcPr>
          <w:p w14:paraId="483A3227" w14:textId="77777777" w:rsidR="003A2B62" w:rsidRPr="00374FA1" w:rsidRDefault="003A2B62" w:rsidP="00A302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 xml:space="preserve">78.9% </w:t>
            </w:r>
          </w:p>
          <w:p w14:paraId="7BA2D26A" w14:textId="77777777" w:rsidR="003A2B62" w:rsidRPr="00374FA1" w:rsidRDefault="003A2B62" w:rsidP="00A302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(66.0%, 91.9%)</w:t>
            </w:r>
          </w:p>
        </w:tc>
        <w:tc>
          <w:tcPr>
            <w:tcW w:w="2040" w:type="dxa"/>
            <w:vAlign w:val="center"/>
          </w:tcPr>
          <w:p w14:paraId="306F1AF4" w14:textId="77777777" w:rsidR="003A2B62" w:rsidRPr="00374FA1" w:rsidRDefault="003A2B62" w:rsidP="00A302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46.2%</w:t>
            </w:r>
          </w:p>
          <w:p w14:paraId="3169D297" w14:textId="77777777" w:rsidR="003A2B62" w:rsidRPr="00374FA1" w:rsidRDefault="003A2B62" w:rsidP="00A302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 xml:space="preserve"> (27.0%, 65.3%)</w:t>
            </w:r>
          </w:p>
        </w:tc>
        <w:tc>
          <w:tcPr>
            <w:tcW w:w="1836" w:type="dxa"/>
            <w:vAlign w:val="center"/>
          </w:tcPr>
          <w:p w14:paraId="43C0BD6D" w14:textId="77777777" w:rsidR="003A2B62" w:rsidRPr="00374FA1" w:rsidRDefault="003A2B62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32.7%</w:t>
            </w:r>
          </w:p>
          <w:p w14:paraId="542FDEE1" w14:textId="77777777" w:rsidR="003A2B62" w:rsidRPr="00374FA1" w:rsidRDefault="003A2B62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in favor of Convergent</w:t>
            </w:r>
          </w:p>
        </w:tc>
      </w:tr>
      <w:tr w:rsidR="003A2B62" w:rsidRPr="00374FA1" w14:paraId="1E5956DB" w14:textId="77777777" w:rsidTr="007A2B84">
        <w:trPr>
          <w:cantSplit/>
          <w:trHeight w:val="298"/>
        </w:trPr>
        <w:tc>
          <w:tcPr>
            <w:tcW w:w="3768" w:type="dxa"/>
          </w:tcPr>
          <w:p w14:paraId="1C26E73A" w14:textId="77777777" w:rsidR="003A2B62" w:rsidRPr="00374FA1" w:rsidRDefault="003A2B62" w:rsidP="00A302D5">
            <w:pPr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Freedom from AF through 12 months *</w:t>
            </w:r>
          </w:p>
          <w:p w14:paraId="1B816C05" w14:textId="77777777" w:rsidR="003A2B62" w:rsidRPr="00374FA1" w:rsidRDefault="003A2B62" w:rsidP="00A302D5">
            <w:pPr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  <w:i/>
              </w:rPr>
              <w:t>n%, (95% Confidence Interval)</w:t>
            </w:r>
          </w:p>
        </w:tc>
        <w:tc>
          <w:tcPr>
            <w:tcW w:w="2040" w:type="dxa"/>
            <w:vAlign w:val="center"/>
          </w:tcPr>
          <w:p w14:paraId="4F19CE63" w14:textId="77777777" w:rsidR="003A2B62" w:rsidRPr="00374FA1" w:rsidRDefault="003A2B62" w:rsidP="00A302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 xml:space="preserve">71.1% </w:t>
            </w:r>
          </w:p>
          <w:p w14:paraId="2C0F8C40" w14:textId="77777777" w:rsidR="003A2B62" w:rsidRPr="00374FA1" w:rsidRDefault="003A2B62" w:rsidP="00A302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(56.6%, 85.5%)</w:t>
            </w:r>
          </w:p>
        </w:tc>
        <w:tc>
          <w:tcPr>
            <w:tcW w:w="2040" w:type="dxa"/>
            <w:vAlign w:val="center"/>
          </w:tcPr>
          <w:p w14:paraId="6B843662" w14:textId="77777777" w:rsidR="003A2B62" w:rsidRPr="00374FA1" w:rsidRDefault="003A2B62" w:rsidP="00A302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 xml:space="preserve">37.0% </w:t>
            </w:r>
          </w:p>
          <w:p w14:paraId="4A274436" w14:textId="77777777" w:rsidR="003A2B62" w:rsidRPr="00374FA1" w:rsidRDefault="003A2B62" w:rsidP="00A302D5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(18.8%, 55.3%)</w:t>
            </w:r>
          </w:p>
        </w:tc>
        <w:tc>
          <w:tcPr>
            <w:tcW w:w="1836" w:type="dxa"/>
            <w:vAlign w:val="center"/>
          </w:tcPr>
          <w:p w14:paraId="5F70BA23" w14:textId="77777777" w:rsidR="003A2B62" w:rsidRPr="00374FA1" w:rsidRDefault="003A2B62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34.1%</w:t>
            </w:r>
          </w:p>
          <w:p w14:paraId="02A1A77C" w14:textId="77777777" w:rsidR="003A2B62" w:rsidRPr="00374FA1" w:rsidRDefault="003A2B62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in favor of Convergent</w:t>
            </w:r>
          </w:p>
        </w:tc>
      </w:tr>
    </w:tbl>
    <w:p w14:paraId="1CF1C09D" w14:textId="77777777" w:rsidR="004A362E" w:rsidRPr="00374FA1" w:rsidRDefault="004A362E" w:rsidP="004A362E">
      <w:pPr>
        <w:spacing w:after="160" w:line="259" w:lineRule="auto"/>
        <w:rPr>
          <w:rFonts w:ascii="Arial" w:hAnsi="Arial" w:cs="Arial"/>
        </w:rPr>
      </w:pP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3772"/>
        <w:gridCol w:w="2042"/>
        <w:gridCol w:w="2042"/>
        <w:gridCol w:w="1838"/>
      </w:tblGrid>
      <w:tr w:rsidR="007A2B84" w:rsidRPr="00374FA1" w14:paraId="33FC41BB" w14:textId="77777777" w:rsidTr="007A2B84">
        <w:trPr>
          <w:cantSplit/>
          <w:trHeight w:val="737"/>
          <w:tblHeader/>
        </w:trPr>
        <w:tc>
          <w:tcPr>
            <w:tcW w:w="3772" w:type="dxa"/>
            <w:shd w:val="clear" w:color="auto" w:fill="D9D9D9" w:themeFill="background1" w:themeFillShade="D9"/>
            <w:vAlign w:val="center"/>
          </w:tcPr>
          <w:p w14:paraId="7C48E948" w14:textId="77777777" w:rsidR="007A2B84" w:rsidRPr="00374FA1" w:rsidRDefault="007A2B84" w:rsidP="00A302D5">
            <w:pPr>
              <w:jc w:val="center"/>
              <w:rPr>
                <w:rFonts w:ascii="Arial" w:hAnsi="Arial" w:cs="Arial"/>
                <w:b/>
              </w:rPr>
            </w:pPr>
            <w:r w:rsidRPr="00374FA1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142A63D3" w14:textId="77777777" w:rsidR="007A2B84" w:rsidRPr="00374FA1" w:rsidRDefault="007A2B84" w:rsidP="00A30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FA1">
              <w:rPr>
                <w:rFonts w:ascii="Arial" w:hAnsi="Arial" w:cs="Arial"/>
                <w:b/>
                <w:bCs/>
              </w:rPr>
              <w:t>Hybrid AF Convergent Ablation Arm</w:t>
            </w:r>
          </w:p>
          <w:p w14:paraId="39444216" w14:textId="77777777" w:rsidR="007A2B84" w:rsidRPr="00374FA1" w:rsidRDefault="007A2B84" w:rsidP="00A30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FA1">
              <w:rPr>
                <w:rFonts w:ascii="Arial" w:hAnsi="Arial" w:cs="Arial"/>
                <w:b/>
                <w:bCs/>
              </w:rPr>
              <w:t>(N=38)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0AA814D2" w14:textId="77777777" w:rsidR="007A2B84" w:rsidRPr="00374FA1" w:rsidRDefault="007A2B84" w:rsidP="00A30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FA1">
              <w:rPr>
                <w:rFonts w:ascii="Arial" w:hAnsi="Arial" w:cs="Arial"/>
                <w:b/>
                <w:bCs/>
              </w:rPr>
              <w:t>Endocardial RF Catheter Ablation Arm</w:t>
            </w:r>
          </w:p>
          <w:p w14:paraId="6D33730F" w14:textId="77777777" w:rsidR="007A2B84" w:rsidRPr="00374FA1" w:rsidRDefault="007A2B84" w:rsidP="00A30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FA1">
              <w:rPr>
                <w:rFonts w:ascii="Arial" w:hAnsi="Arial" w:cs="Arial"/>
                <w:b/>
                <w:bCs/>
              </w:rPr>
              <w:t>(N=27)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9D1FE2F" w14:textId="77777777" w:rsidR="007A2B84" w:rsidRPr="00374FA1" w:rsidRDefault="007A2B84" w:rsidP="00A30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FA1">
              <w:rPr>
                <w:rFonts w:ascii="Arial" w:hAnsi="Arial" w:cs="Arial"/>
                <w:b/>
                <w:bCs/>
              </w:rPr>
              <w:t>Difference</w:t>
            </w:r>
          </w:p>
          <w:p w14:paraId="3811351B" w14:textId="77777777" w:rsidR="007A2B84" w:rsidRPr="00374FA1" w:rsidRDefault="007A2B84" w:rsidP="00A302D5">
            <w:pPr>
              <w:jc w:val="center"/>
              <w:rPr>
                <w:rFonts w:ascii="Arial" w:hAnsi="Arial" w:cs="Arial"/>
                <w:b/>
                <w:bCs/>
              </w:rPr>
            </w:pPr>
            <w:r w:rsidRPr="00374FA1">
              <w:rPr>
                <w:rFonts w:ascii="Arial" w:hAnsi="Arial" w:cs="Arial"/>
                <w:b/>
                <w:bCs/>
              </w:rPr>
              <w:t>(Convergent – Control)</w:t>
            </w:r>
          </w:p>
        </w:tc>
      </w:tr>
      <w:tr w:rsidR="007A2B84" w:rsidRPr="00374FA1" w14:paraId="4EBB06AD" w14:textId="77777777" w:rsidTr="007A2B84">
        <w:trPr>
          <w:cantSplit/>
          <w:trHeight w:val="975"/>
        </w:trPr>
        <w:tc>
          <w:tcPr>
            <w:tcW w:w="3772" w:type="dxa"/>
          </w:tcPr>
          <w:p w14:paraId="6F727DBE" w14:textId="77777777" w:rsidR="007A2B84" w:rsidRPr="00374FA1" w:rsidRDefault="007A2B84" w:rsidP="00A302D5">
            <w:pPr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 xml:space="preserve">Freedom from AF/AFL/AT from 3-month blanking period through 18 months* </w:t>
            </w:r>
          </w:p>
          <w:p w14:paraId="164EE7EC" w14:textId="77777777" w:rsidR="007A2B84" w:rsidRPr="00374FA1" w:rsidRDefault="007A2B84" w:rsidP="00A302D5">
            <w:pPr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  <w:i/>
              </w:rPr>
              <w:t>n%, (95% Confidence Interval)</w:t>
            </w:r>
          </w:p>
        </w:tc>
        <w:tc>
          <w:tcPr>
            <w:tcW w:w="2042" w:type="dxa"/>
            <w:vAlign w:val="center"/>
          </w:tcPr>
          <w:p w14:paraId="6C2412FC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60.5%</w:t>
            </w:r>
          </w:p>
          <w:p w14:paraId="3EF94DF9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(45.0%, 76.1%)</w:t>
            </w:r>
          </w:p>
        </w:tc>
        <w:tc>
          <w:tcPr>
            <w:tcW w:w="2042" w:type="dxa"/>
            <w:vAlign w:val="center"/>
          </w:tcPr>
          <w:p w14:paraId="7D31302E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 xml:space="preserve">25.9% </w:t>
            </w:r>
          </w:p>
          <w:p w14:paraId="63125609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(9.4%, 42.5%)</w:t>
            </w:r>
          </w:p>
        </w:tc>
        <w:tc>
          <w:tcPr>
            <w:tcW w:w="1838" w:type="dxa"/>
            <w:vAlign w:val="center"/>
          </w:tcPr>
          <w:p w14:paraId="517B84E4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 xml:space="preserve">34.6% </w:t>
            </w:r>
          </w:p>
          <w:p w14:paraId="0AA5EEB5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in favor of Convergent</w:t>
            </w:r>
          </w:p>
        </w:tc>
      </w:tr>
      <w:tr w:rsidR="007A2B84" w:rsidRPr="00374FA1" w14:paraId="4F101F41" w14:textId="77777777" w:rsidTr="007A2B84">
        <w:trPr>
          <w:cantSplit/>
          <w:trHeight w:val="293"/>
        </w:trPr>
        <w:tc>
          <w:tcPr>
            <w:tcW w:w="3772" w:type="dxa"/>
          </w:tcPr>
          <w:p w14:paraId="77FC03F8" w14:textId="77777777" w:rsidR="007A2B84" w:rsidRPr="00374FA1" w:rsidRDefault="007A2B84" w:rsidP="00A302D5">
            <w:pPr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  <w:u w:val="single"/>
              </w:rPr>
              <w:t>&gt;</w:t>
            </w:r>
            <w:r w:rsidRPr="00374FA1">
              <w:rPr>
                <w:rFonts w:ascii="Arial" w:hAnsi="Arial" w:cs="Arial"/>
              </w:rPr>
              <w:t>90% burden reduction at 18 months*</w:t>
            </w:r>
          </w:p>
          <w:p w14:paraId="1A313B3B" w14:textId="77777777" w:rsidR="007A2B84" w:rsidRPr="00374FA1" w:rsidRDefault="007A2B84" w:rsidP="00A302D5">
            <w:pPr>
              <w:rPr>
                <w:rFonts w:ascii="Arial" w:hAnsi="Arial" w:cs="Arial"/>
                <w:i/>
              </w:rPr>
            </w:pPr>
            <w:r w:rsidRPr="00374FA1">
              <w:rPr>
                <w:rFonts w:ascii="Arial" w:hAnsi="Arial" w:cs="Arial"/>
                <w:i/>
              </w:rPr>
              <w:t>n%, (95% Confidence Interval)</w:t>
            </w:r>
          </w:p>
        </w:tc>
        <w:tc>
          <w:tcPr>
            <w:tcW w:w="2042" w:type="dxa"/>
            <w:vAlign w:val="center"/>
          </w:tcPr>
          <w:p w14:paraId="6DB9FCE7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 xml:space="preserve">73.0% </w:t>
            </w:r>
          </w:p>
          <w:p w14:paraId="13282C25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(58.7%, 87.3%)</w:t>
            </w:r>
          </w:p>
        </w:tc>
        <w:tc>
          <w:tcPr>
            <w:tcW w:w="2042" w:type="dxa"/>
            <w:vAlign w:val="center"/>
          </w:tcPr>
          <w:p w14:paraId="07325598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 xml:space="preserve">36.0% </w:t>
            </w:r>
          </w:p>
          <w:p w14:paraId="310A6D01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(17.2%, 54.8%)</w:t>
            </w:r>
          </w:p>
        </w:tc>
        <w:tc>
          <w:tcPr>
            <w:tcW w:w="1838" w:type="dxa"/>
            <w:vAlign w:val="center"/>
          </w:tcPr>
          <w:p w14:paraId="78048F75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37.0%</w:t>
            </w:r>
          </w:p>
          <w:p w14:paraId="62008260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in favor of Convergent</w:t>
            </w:r>
          </w:p>
        </w:tc>
      </w:tr>
      <w:tr w:rsidR="007A2B84" w:rsidRPr="00374FA1" w14:paraId="0CB94049" w14:textId="77777777" w:rsidTr="007A2B84">
        <w:trPr>
          <w:cantSplit/>
          <w:trHeight w:val="293"/>
        </w:trPr>
        <w:tc>
          <w:tcPr>
            <w:tcW w:w="3772" w:type="dxa"/>
          </w:tcPr>
          <w:p w14:paraId="388BF02F" w14:textId="77777777" w:rsidR="007A2B84" w:rsidRPr="00374FA1" w:rsidRDefault="007A2B84" w:rsidP="00A302D5">
            <w:pPr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Freedom from AF through 18 months *</w:t>
            </w:r>
          </w:p>
          <w:p w14:paraId="6B8A004E" w14:textId="77777777" w:rsidR="007A2B84" w:rsidRPr="00374FA1" w:rsidRDefault="007A2B84" w:rsidP="00A302D5">
            <w:pPr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  <w:i/>
              </w:rPr>
              <w:t>n%, (95% Confidence Interval)</w:t>
            </w:r>
          </w:p>
        </w:tc>
        <w:tc>
          <w:tcPr>
            <w:tcW w:w="2042" w:type="dxa"/>
            <w:vAlign w:val="center"/>
          </w:tcPr>
          <w:p w14:paraId="283AAA3F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68.4%</w:t>
            </w:r>
          </w:p>
          <w:p w14:paraId="6DA1FABE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 xml:space="preserve"> (53.6%, 83.2%)</w:t>
            </w:r>
          </w:p>
        </w:tc>
        <w:tc>
          <w:tcPr>
            <w:tcW w:w="2042" w:type="dxa"/>
            <w:vAlign w:val="center"/>
          </w:tcPr>
          <w:p w14:paraId="7A1D2C47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 xml:space="preserve">29.6% </w:t>
            </w:r>
          </w:p>
          <w:p w14:paraId="4C38974E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(12.4%, 46.9%)</w:t>
            </w:r>
          </w:p>
        </w:tc>
        <w:tc>
          <w:tcPr>
            <w:tcW w:w="1838" w:type="dxa"/>
            <w:vAlign w:val="center"/>
          </w:tcPr>
          <w:p w14:paraId="32115A63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38.8%</w:t>
            </w:r>
          </w:p>
          <w:p w14:paraId="5EC553A4" w14:textId="77777777" w:rsidR="007A2B84" w:rsidRPr="00374FA1" w:rsidRDefault="007A2B84" w:rsidP="00A302D5">
            <w:pPr>
              <w:jc w:val="center"/>
              <w:rPr>
                <w:rFonts w:ascii="Arial" w:hAnsi="Arial" w:cs="Arial"/>
              </w:rPr>
            </w:pPr>
            <w:r w:rsidRPr="00374FA1">
              <w:rPr>
                <w:rFonts w:ascii="Arial" w:hAnsi="Arial" w:cs="Arial"/>
              </w:rPr>
              <w:t>in favor of Convergent</w:t>
            </w:r>
          </w:p>
        </w:tc>
      </w:tr>
    </w:tbl>
    <w:p w14:paraId="6645183E" w14:textId="77777777" w:rsidR="004A362E" w:rsidRPr="00374FA1" w:rsidRDefault="004A362E" w:rsidP="004A362E">
      <w:pPr>
        <w:pStyle w:val="NoSpacing"/>
        <w:rPr>
          <w:rFonts w:ascii="Arial" w:hAnsi="Arial" w:cs="Arial"/>
          <w:b/>
          <w:bCs/>
        </w:rPr>
      </w:pPr>
    </w:p>
    <w:p w14:paraId="0001EA5C" w14:textId="0659EFFF" w:rsidR="00CC736A" w:rsidRPr="00374FA1" w:rsidRDefault="00CC736A" w:rsidP="004A362E">
      <w:pPr>
        <w:spacing w:after="160" w:line="259" w:lineRule="auto"/>
        <w:rPr>
          <w:rFonts w:ascii="Arial" w:hAnsi="Arial" w:cs="Arial"/>
        </w:rPr>
      </w:pPr>
      <w:r w:rsidRPr="00374FA1">
        <w:rPr>
          <w:rFonts w:ascii="Arial" w:hAnsi="Arial" w:cs="Arial"/>
          <w:b/>
          <w:bCs/>
        </w:rPr>
        <w:t>About the CONVERGE IDE Trial</w:t>
      </w:r>
    </w:p>
    <w:p w14:paraId="64B820DF" w14:textId="137DC5E8" w:rsidR="00CC736A" w:rsidRPr="00374FA1" w:rsidRDefault="00CC736A" w:rsidP="00CC736A">
      <w:pPr>
        <w:pStyle w:val="NoSpacing"/>
        <w:rPr>
          <w:rFonts w:ascii="Arial" w:hAnsi="Arial" w:cs="Arial"/>
        </w:rPr>
      </w:pPr>
      <w:r w:rsidRPr="00374FA1">
        <w:rPr>
          <w:rFonts w:ascii="Arial" w:hAnsi="Arial" w:cs="Arial"/>
        </w:rPr>
        <w:t xml:space="preserve">The CONVERGE IDE trial is a prospective, superiority, randomized, controlled pivotal trial to evaluate the success of Hybrid AF Convergent ablation compared to endocardial RF catheter ablation for patients with persistent or long-standing persistent AF. The procedure combines a minimally invasive, closed chest epicardial ablation performed by a surgeon with endocardial RF catheter ablation performed by an electrophysiologist. The trial enrolled 153 patients at 27 locations (25 in the United States and 2 in the United Kingdom). Patients were randomized at a rate of 2:1 and received </w:t>
      </w:r>
      <w:proofErr w:type="gramStart"/>
      <w:r w:rsidRPr="00374FA1">
        <w:rPr>
          <w:rFonts w:ascii="Arial" w:hAnsi="Arial" w:cs="Arial"/>
        </w:rPr>
        <w:t>either  Hybrid</w:t>
      </w:r>
      <w:proofErr w:type="gramEnd"/>
      <w:r w:rsidRPr="00374FA1">
        <w:rPr>
          <w:rFonts w:ascii="Arial" w:hAnsi="Arial" w:cs="Arial"/>
        </w:rPr>
        <w:t xml:space="preserve"> AF </w:t>
      </w:r>
      <w:r w:rsidR="00642DFD" w:rsidRPr="00374FA1">
        <w:rPr>
          <w:rFonts w:ascii="Arial" w:hAnsi="Arial" w:cs="Arial"/>
        </w:rPr>
        <w:t>T</w:t>
      </w:r>
      <w:r w:rsidRPr="00374FA1">
        <w:rPr>
          <w:rFonts w:ascii="Arial" w:hAnsi="Arial" w:cs="Arial"/>
        </w:rPr>
        <w:t xml:space="preserve">herapy </w:t>
      </w:r>
      <w:r w:rsidR="00642DFD" w:rsidRPr="00374FA1">
        <w:rPr>
          <w:rFonts w:ascii="Arial" w:hAnsi="Arial" w:cs="Arial"/>
        </w:rPr>
        <w:t xml:space="preserve">Convergent </w:t>
      </w:r>
      <w:r w:rsidRPr="00374FA1">
        <w:rPr>
          <w:rFonts w:ascii="Arial" w:hAnsi="Arial" w:cs="Arial"/>
        </w:rPr>
        <w:t xml:space="preserve">or an endocardial RF catheter ablation alone. David </w:t>
      </w:r>
      <w:proofErr w:type="spellStart"/>
      <w:r w:rsidRPr="00374FA1">
        <w:rPr>
          <w:rFonts w:ascii="Arial" w:hAnsi="Arial" w:cs="Arial"/>
        </w:rPr>
        <w:t>DeLurgio</w:t>
      </w:r>
      <w:proofErr w:type="spellEnd"/>
      <w:r w:rsidRPr="00374FA1">
        <w:rPr>
          <w:rFonts w:ascii="Arial" w:hAnsi="Arial" w:cs="Arial"/>
        </w:rPr>
        <w:t xml:space="preserve">, MD, of Emory St. Joseph’s Hospital in Atlanta, Georgia, was the trial’s national principal investigator. </w:t>
      </w:r>
    </w:p>
    <w:p w14:paraId="06D1F530" w14:textId="10AD07AC" w:rsidR="00CC736A" w:rsidRPr="00374FA1" w:rsidRDefault="00CC736A" w:rsidP="00CC736A">
      <w:pPr>
        <w:pStyle w:val="NoSpacing"/>
        <w:rPr>
          <w:rFonts w:ascii="Arial" w:hAnsi="Arial" w:cs="Arial"/>
          <w:b/>
          <w:bCs/>
        </w:rPr>
      </w:pPr>
    </w:p>
    <w:p w14:paraId="590C1299" w14:textId="35250D16" w:rsidR="00697189" w:rsidRDefault="00697189" w:rsidP="00CC736A">
      <w:pPr>
        <w:pStyle w:val="NoSpacing"/>
        <w:rPr>
          <w:rFonts w:ascii="Arial" w:hAnsi="Arial" w:cs="Arial"/>
          <w:b/>
          <w:bCs/>
        </w:rPr>
      </w:pPr>
    </w:p>
    <w:p w14:paraId="6D70DDC2" w14:textId="77777777" w:rsidR="007D3E64" w:rsidRDefault="007D3E64" w:rsidP="00525D69">
      <w:pPr>
        <w:spacing w:after="100" w:line="240" w:lineRule="auto"/>
        <w:rPr>
          <w:rFonts w:ascii="Arial" w:hAnsi="Arial" w:cs="Arial"/>
          <w:b/>
          <w:i/>
          <w:sz w:val="20"/>
          <w:szCs w:val="20"/>
        </w:rPr>
      </w:pPr>
    </w:p>
    <w:p w14:paraId="59A5ED9E" w14:textId="280CAA71" w:rsidR="007D3E64" w:rsidRDefault="00FE3388" w:rsidP="00525D69">
      <w:pPr>
        <w:spacing w:after="100" w:line="240" w:lineRule="auto"/>
        <w:rPr>
          <w:rFonts w:ascii="Arial" w:hAnsi="Arial" w:cs="Arial"/>
          <w:bCs/>
          <w:iCs/>
          <w:sz w:val="20"/>
          <w:szCs w:val="20"/>
        </w:rPr>
      </w:pPr>
      <w:r w:rsidRPr="009C4348">
        <w:rPr>
          <w:rFonts w:ascii="Arial" w:hAnsi="Arial" w:cs="Arial"/>
          <w:bCs/>
          <w:iCs/>
          <w:sz w:val="20"/>
          <w:szCs w:val="20"/>
        </w:rPr>
        <w:lastRenderedPageBreak/>
        <w:t>*</w:t>
      </w:r>
      <w:r w:rsidR="007D3E64" w:rsidRPr="009C4348">
        <w:rPr>
          <w:rFonts w:ascii="Arial" w:hAnsi="Arial" w:cs="Arial"/>
          <w:bCs/>
          <w:iCs/>
          <w:sz w:val="20"/>
          <w:szCs w:val="20"/>
        </w:rPr>
        <w:t>Data based on the post-hoc analysis of long-standing persistent AF sub-groups (N=65</w:t>
      </w:r>
      <w:r w:rsidR="006F60C3" w:rsidRPr="009C4348">
        <w:rPr>
          <w:rFonts w:ascii="Arial" w:hAnsi="Arial" w:cs="Arial"/>
          <w:bCs/>
          <w:iCs/>
          <w:sz w:val="20"/>
          <w:szCs w:val="20"/>
        </w:rPr>
        <w:t>)</w:t>
      </w:r>
    </w:p>
    <w:p w14:paraId="08F3729E" w14:textId="77777777" w:rsidR="009C4348" w:rsidRPr="00FE3388" w:rsidRDefault="009C4348" w:rsidP="00525D69">
      <w:pPr>
        <w:spacing w:after="10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392C441B" w14:textId="1030A51D" w:rsidR="46BCA569" w:rsidRDefault="46BCA569" w:rsidP="23DA7076">
      <w:pPr>
        <w:spacing w:line="252" w:lineRule="auto"/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</w:pPr>
      <w:proofErr w:type="spellStart"/>
      <w:r w:rsidRPr="23DA7076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EPi</w:t>
      </w:r>
      <w:proofErr w:type="spellEnd"/>
      <w:r w:rsidRPr="23DA7076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-Sense® Guided Coagulation System </w:t>
      </w:r>
    </w:p>
    <w:p w14:paraId="625A9E56" w14:textId="383EA0A6" w:rsidR="00753710" w:rsidRPr="00753710" w:rsidRDefault="46BCA569" w:rsidP="00753710">
      <w:pPr>
        <w:spacing w:line="252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23DA7076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>Indications</w:t>
      </w:r>
      <w:r w:rsidRPr="23DA7076">
        <w:rPr>
          <w:rFonts w:ascii="Arial" w:eastAsia="Arial" w:hAnsi="Arial" w:cs="Arial"/>
          <w:color w:val="000000" w:themeColor="text1"/>
          <w:sz w:val="16"/>
          <w:szCs w:val="16"/>
          <w:u w:val="single"/>
        </w:rPr>
        <w:t>:</w:t>
      </w:r>
      <w:r w:rsidRPr="23DA7076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  <w:r w:rsidR="00753710" w:rsidRPr="00753710">
        <w:rPr>
          <w:rFonts w:ascii="Arial" w:eastAsia="Arial" w:hAnsi="Arial" w:cs="Arial"/>
          <w:color w:val="000000" w:themeColor="text1"/>
          <w:sz w:val="16"/>
          <w:szCs w:val="16"/>
        </w:rPr>
        <w:t xml:space="preserve">The </w:t>
      </w:r>
      <w:proofErr w:type="spellStart"/>
      <w:r w:rsidR="00753710" w:rsidRPr="00753710">
        <w:rPr>
          <w:rFonts w:ascii="Arial" w:eastAsia="Arial" w:hAnsi="Arial" w:cs="Arial"/>
          <w:color w:val="000000" w:themeColor="text1"/>
          <w:sz w:val="16"/>
          <w:szCs w:val="16"/>
        </w:rPr>
        <w:t>EPi</w:t>
      </w:r>
      <w:proofErr w:type="spellEnd"/>
      <w:r w:rsidR="00753710" w:rsidRPr="00753710">
        <w:rPr>
          <w:rFonts w:ascii="Arial" w:eastAsia="Arial" w:hAnsi="Arial" w:cs="Arial"/>
          <w:color w:val="000000" w:themeColor="text1"/>
          <w:sz w:val="16"/>
          <w:szCs w:val="16"/>
        </w:rPr>
        <w:t xml:space="preserve">-Sense® Guided Coagulation System with </w:t>
      </w:r>
      <w:proofErr w:type="spellStart"/>
      <w:r w:rsidR="00753710" w:rsidRPr="00753710">
        <w:rPr>
          <w:rFonts w:ascii="Arial" w:eastAsia="Arial" w:hAnsi="Arial" w:cs="Arial"/>
          <w:color w:val="000000" w:themeColor="text1"/>
          <w:sz w:val="16"/>
          <w:szCs w:val="16"/>
        </w:rPr>
        <w:t>VisiTrax</w:t>
      </w:r>
      <w:proofErr w:type="spellEnd"/>
      <w:r w:rsidR="00753710" w:rsidRPr="00753710">
        <w:rPr>
          <w:rFonts w:ascii="Arial" w:eastAsia="Arial" w:hAnsi="Arial" w:cs="Arial"/>
          <w:color w:val="000000" w:themeColor="text1"/>
          <w:sz w:val="16"/>
          <w:szCs w:val="16"/>
        </w:rPr>
        <w:t xml:space="preserve">® is intended for the coagulation of cardiac tissue using radiofrequency (RF) energy during cardiac surgery for the treatment of arrhythmias including Atrial Fibrillation (AFIB) or Atrial Flutter (AFL). </w:t>
      </w:r>
    </w:p>
    <w:p w14:paraId="193AAE18" w14:textId="6D2E5A2D" w:rsidR="23DA7076" w:rsidRDefault="00753710" w:rsidP="009E7876">
      <w:pPr>
        <w:spacing w:line="252" w:lineRule="auto"/>
        <w:rPr>
          <w:rStyle w:val="normaltextrun"/>
        </w:rPr>
      </w:pPr>
      <w:r w:rsidRPr="009E7876">
        <w:rPr>
          <w:rFonts w:ascii="Arial" w:eastAsia="Arial" w:hAnsi="Arial" w:cs="Arial"/>
          <w:b/>
          <w:bCs/>
          <w:color w:val="000000" w:themeColor="text1"/>
          <w:sz w:val="16"/>
          <w:szCs w:val="16"/>
          <w:u w:val="single"/>
        </w:rPr>
        <w:t xml:space="preserve">Contraindications: </w:t>
      </w:r>
      <w:r w:rsidRPr="00753710">
        <w:rPr>
          <w:rFonts w:ascii="Arial" w:eastAsia="Arial" w:hAnsi="Arial" w:cs="Arial"/>
          <w:color w:val="000000" w:themeColor="text1"/>
          <w:sz w:val="16"/>
          <w:szCs w:val="16"/>
        </w:rPr>
        <w:t>Patients with presence of left atrial thrombus, a systemic infection, active endocarditis, or another infection local to the surgical site at the time of surgery. Patients with Barrett’s Esophagus.</w:t>
      </w:r>
    </w:p>
    <w:p w14:paraId="6973C2A8" w14:textId="18FF93AE" w:rsidR="00525D69" w:rsidRPr="00525D69" w:rsidRDefault="00525D69" w:rsidP="00CC736A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FD13C3A" w14:textId="77777777" w:rsidR="00525D69" w:rsidRPr="00525D69" w:rsidRDefault="00525D69" w:rsidP="00CC736A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BA07BD8" w14:textId="77777777" w:rsidR="004A362E" w:rsidRPr="009C4348" w:rsidRDefault="004A362E" w:rsidP="004A362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9C4348">
        <w:rPr>
          <w:rFonts w:ascii="Arial" w:eastAsia="Times New Roman" w:hAnsi="Arial" w:cs="Arial"/>
          <w:color w:val="000000"/>
          <w:sz w:val="16"/>
          <w:szCs w:val="16"/>
        </w:rPr>
        <w:t xml:space="preserve">1. Lloyd-Jones, D.M., et al. (2004). Lifetime risk for development of atrial fibrillation. Circulation, 110, 1042-1046. </w:t>
      </w:r>
      <w:proofErr w:type="spellStart"/>
      <w:r w:rsidRPr="009C4348">
        <w:rPr>
          <w:rFonts w:ascii="Arial" w:eastAsia="Times New Roman" w:hAnsi="Arial" w:cs="Arial"/>
          <w:color w:val="000000"/>
          <w:sz w:val="16"/>
          <w:szCs w:val="16"/>
        </w:rPr>
        <w:t>doi</w:t>
      </w:r>
      <w:proofErr w:type="spellEnd"/>
      <w:r w:rsidRPr="009C4348">
        <w:rPr>
          <w:rFonts w:ascii="Arial" w:eastAsia="Times New Roman" w:hAnsi="Arial" w:cs="Arial"/>
          <w:color w:val="000000"/>
          <w:sz w:val="16"/>
          <w:szCs w:val="16"/>
        </w:rPr>
        <w:t>: 10.1161/01.CIR.0000140263.20897.42.</w:t>
      </w:r>
    </w:p>
    <w:p w14:paraId="76BBCF1A" w14:textId="77777777" w:rsidR="004A362E" w:rsidRPr="009C4348" w:rsidRDefault="004A362E" w:rsidP="004A362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14:paraId="572C3A1A" w14:textId="77777777" w:rsidR="00CB7457" w:rsidRPr="009C4348" w:rsidRDefault="004A362E" w:rsidP="00CB745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9C4348">
        <w:rPr>
          <w:rFonts w:ascii="Arial" w:eastAsia="Times New Roman" w:hAnsi="Arial" w:cs="Arial"/>
          <w:color w:val="000000"/>
          <w:sz w:val="16"/>
          <w:szCs w:val="16"/>
        </w:rPr>
        <w:t xml:space="preserve">2. </w:t>
      </w:r>
      <w:r w:rsidR="00CB7457" w:rsidRPr="009C4348">
        <w:rPr>
          <w:rFonts w:ascii="Arial" w:eastAsia="Times New Roman" w:hAnsi="Arial" w:cs="Arial"/>
          <w:color w:val="000000"/>
          <w:sz w:val="16"/>
          <w:szCs w:val="16"/>
        </w:rPr>
        <w:t xml:space="preserve">Rahman, F., et al. (2014). Global epidemiology of atrial fibrillation. </w:t>
      </w:r>
      <w:r w:rsidR="00CB7457" w:rsidRPr="009C4348">
        <w:rPr>
          <w:rFonts w:ascii="Arial" w:eastAsia="Times New Roman" w:hAnsi="Arial" w:cs="Arial"/>
          <w:i/>
          <w:color w:val="000000"/>
          <w:sz w:val="16"/>
          <w:szCs w:val="16"/>
        </w:rPr>
        <w:t>Nature reviews cardiology,</w:t>
      </w:r>
      <w:r w:rsidR="00CB7457" w:rsidRPr="009C4348">
        <w:rPr>
          <w:rFonts w:ascii="Arial" w:eastAsia="Times New Roman" w:hAnsi="Arial" w:cs="Arial"/>
          <w:color w:val="000000"/>
          <w:sz w:val="16"/>
          <w:szCs w:val="16"/>
        </w:rPr>
        <w:t xml:space="preserve"> 11, 639-654. https://doi.org/10.1038/nrcardio.2014.118</w:t>
      </w:r>
    </w:p>
    <w:p w14:paraId="453BE24B" w14:textId="268BAB02" w:rsidR="004A362E" w:rsidRPr="009C4348" w:rsidRDefault="004A362E" w:rsidP="004A362E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14:paraId="4217BAC4" w14:textId="77777777" w:rsidR="00CB7457" w:rsidRPr="009C4348" w:rsidRDefault="004A362E" w:rsidP="00CB745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9C4348">
        <w:rPr>
          <w:rFonts w:ascii="Arial" w:eastAsia="Times New Roman" w:hAnsi="Arial" w:cs="Arial"/>
          <w:color w:val="000000"/>
          <w:sz w:val="16"/>
          <w:szCs w:val="16"/>
        </w:rPr>
        <w:t xml:space="preserve">3. </w:t>
      </w:r>
      <w:proofErr w:type="spellStart"/>
      <w:r w:rsidR="00CB7457" w:rsidRPr="009C4348">
        <w:rPr>
          <w:rFonts w:ascii="Arial" w:eastAsia="Times New Roman" w:hAnsi="Arial" w:cs="Arial"/>
          <w:color w:val="000000"/>
          <w:sz w:val="16"/>
          <w:szCs w:val="16"/>
        </w:rPr>
        <w:t>Colilla</w:t>
      </w:r>
      <w:proofErr w:type="spellEnd"/>
      <w:r w:rsidR="00CB7457" w:rsidRPr="009C4348">
        <w:rPr>
          <w:rFonts w:ascii="Arial" w:eastAsia="Times New Roman" w:hAnsi="Arial" w:cs="Arial"/>
          <w:color w:val="000000"/>
          <w:sz w:val="16"/>
          <w:szCs w:val="16"/>
        </w:rPr>
        <w:t xml:space="preserve">, S. et al. (2013). Estimates of current and future incidence and prevalence of atrial fibrillation in the U.S. adult population. </w:t>
      </w:r>
      <w:r w:rsidR="00CB7457" w:rsidRPr="009C4348">
        <w:rPr>
          <w:rFonts w:ascii="Arial" w:eastAsia="Times New Roman" w:hAnsi="Arial" w:cs="Arial"/>
          <w:i/>
          <w:color w:val="000000"/>
          <w:sz w:val="16"/>
          <w:szCs w:val="16"/>
        </w:rPr>
        <w:t>American journal of cardiology,</w:t>
      </w:r>
      <w:r w:rsidR="00CB7457" w:rsidRPr="009C4348">
        <w:rPr>
          <w:rFonts w:ascii="Arial" w:eastAsia="Times New Roman" w:hAnsi="Arial" w:cs="Arial"/>
          <w:color w:val="000000"/>
          <w:sz w:val="16"/>
          <w:szCs w:val="16"/>
        </w:rPr>
        <w:t xml:space="preserve"> 112(8), 1142-1147.</w:t>
      </w:r>
    </w:p>
    <w:p w14:paraId="3D663659" w14:textId="03B149C9" w:rsidR="00C77B5A" w:rsidRPr="00374FA1" w:rsidRDefault="00C77B5A" w:rsidP="00CB745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26FA4A6" w14:textId="77777777" w:rsidR="00C77B5A" w:rsidRPr="00374FA1" w:rsidRDefault="00C77B5A" w:rsidP="00C77B5A">
      <w:pPr>
        <w:rPr>
          <w:rFonts w:ascii="Arial" w:eastAsia="Times New Roman" w:hAnsi="Arial" w:cs="Arial"/>
        </w:rPr>
      </w:pPr>
    </w:p>
    <w:p w14:paraId="0013B62A" w14:textId="77777777" w:rsidR="00C77B5A" w:rsidRPr="00374FA1" w:rsidRDefault="00C77B5A" w:rsidP="00C77B5A">
      <w:pPr>
        <w:rPr>
          <w:rFonts w:ascii="Arial" w:eastAsia="Times New Roman" w:hAnsi="Arial" w:cs="Arial"/>
        </w:rPr>
      </w:pPr>
    </w:p>
    <w:p w14:paraId="2A2DC360" w14:textId="77777777" w:rsidR="00C77B5A" w:rsidRPr="00374FA1" w:rsidRDefault="00C77B5A" w:rsidP="00C77B5A">
      <w:pPr>
        <w:rPr>
          <w:rFonts w:ascii="Arial" w:eastAsia="Times New Roman" w:hAnsi="Arial" w:cs="Arial"/>
        </w:rPr>
      </w:pPr>
    </w:p>
    <w:p w14:paraId="62148606" w14:textId="77777777" w:rsidR="00C77B5A" w:rsidRPr="00374FA1" w:rsidRDefault="00C77B5A" w:rsidP="00C77B5A">
      <w:pPr>
        <w:rPr>
          <w:rFonts w:ascii="Arial" w:eastAsia="Times New Roman" w:hAnsi="Arial" w:cs="Arial"/>
        </w:rPr>
      </w:pPr>
    </w:p>
    <w:p w14:paraId="1E7A71C4" w14:textId="77777777" w:rsidR="00C77B5A" w:rsidRPr="00374FA1" w:rsidRDefault="00C77B5A" w:rsidP="00C77B5A">
      <w:pPr>
        <w:rPr>
          <w:rFonts w:ascii="Arial" w:eastAsia="Times New Roman" w:hAnsi="Arial" w:cs="Arial"/>
        </w:rPr>
      </w:pPr>
    </w:p>
    <w:p w14:paraId="4368655C" w14:textId="5A6B1D6E" w:rsidR="00C77B5A" w:rsidRPr="00374FA1" w:rsidRDefault="00C77B5A" w:rsidP="00C77B5A">
      <w:pPr>
        <w:rPr>
          <w:rFonts w:ascii="Arial" w:eastAsia="Times New Roman" w:hAnsi="Arial" w:cs="Arial"/>
        </w:rPr>
      </w:pPr>
    </w:p>
    <w:p w14:paraId="5A54EBC3" w14:textId="06E579C6" w:rsidR="009A7CCD" w:rsidRPr="00374FA1" w:rsidRDefault="00C77B5A" w:rsidP="00C77B5A">
      <w:pPr>
        <w:tabs>
          <w:tab w:val="left" w:pos="2508"/>
        </w:tabs>
        <w:rPr>
          <w:rFonts w:ascii="Arial" w:eastAsia="Times New Roman" w:hAnsi="Arial" w:cs="Arial"/>
        </w:rPr>
      </w:pPr>
      <w:r w:rsidRPr="00374FA1">
        <w:rPr>
          <w:rFonts w:ascii="Arial" w:eastAsia="Times New Roman" w:hAnsi="Arial" w:cs="Arial"/>
        </w:rPr>
        <w:tab/>
      </w:r>
    </w:p>
    <w:sectPr w:rsidR="009A7CCD" w:rsidRPr="00374FA1" w:rsidSect="00F734FF">
      <w:footerReference w:type="default" r:id="rId11"/>
      <w:headerReference w:type="first" r:id="rId12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FF8F3" w14:textId="77777777" w:rsidR="00A10FE8" w:rsidRDefault="00A10FE8" w:rsidP="00235573">
      <w:pPr>
        <w:spacing w:after="0" w:line="240" w:lineRule="auto"/>
      </w:pPr>
      <w:r>
        <w:separator/>
      </w:r>
    </w:p>
  </w:endnote>
  <w:endnote w:type="continuationSeparator" w:id="0">
    <w:p w14:paraId="76E355F9" w14:textId="77777777" w:rsidR="00A10FE8" w:rsidRDefault="00A10FE8" w:rsidP="0023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C1BC7" w14:textId="0721BF43" w:rsidR="000F5F49" w:rsidRPr="00C77B5A" w:rsidRDefault="00C77B5A">
    <w:pPr>
      <w:pStyle w:val="Footer"/>
      <w:rPr>
        <w:rFonts w:ascii="Arial" w:hAnsi="Arial" w:cs="Arial"/>
        <w:sz w:val="20"/>
        <w:szCs w:val="20"/>
      </w:rPr>
    </w:pPr>
    <w:r w:rsidRPr="00C77B5A">
      <w:rPr>
        <w:rFonts w:ascii="Arial" w:hAnsi="Arial" w:cs="Arial"/>
        <w:sz w:val="20"/>
        <w:szCs w:val="20"/>
      </w:rPr>
      <w:t>PM-</w:t>
    </w:r>
    <w:r w:rsidR="00753710">
      <w:rPr>
        <w:rFonts w:ascii="Arial" w:hAnsi="Arial" w:cs="Arial"/>
        <w:sz w:val="20"/>
        <w:szCs w:val="20"/>
      </w:rPr>
      <w:t>EU</w:t>
    </w:r>
    <w:r w:rsidRPr="00C77B5A">
      <w:rPr>
        <w:rFonts w:ascii="Arial" w:hAnsi="Arial" w:cs="Arial"/>
        <w:sz w:val="20"/>
        <w:szCs w:val="20"/>
      </w:rPr>
      <w:t>-</w:t>
    </w:r>
    <w:r w:rsidR="00944D18" w:rsidRPr="00944D18">
      <w:rPr>
        <w:rFonts w:ascii="Arial" w:hAnsi="Arial" w:cs="Arial"/>
        <w:sz w:val="20"/>
        <w:szCs w:val="20"/>
      </w:rPr>
      <w:t>1</w:t>
    </w:r>
    <w:r w:rsidR="00753710">
      <w:rPr>
        <w:rFonts w:ascii="Arial" w:hAnsi="Arial" w:cs="Arial"/>
        <w:sz w:val="20"/>
        <w:szCs w:val="20"/>
      </w:rPr>
      <w:t>682</w:t>
    </w:r>
    <w:r w:rsidR="00944D18" w:rsidRPr="00944D18">
      <w:rPr>
        <w:rFonts w:ascii="Arial" w:hAnsi="Arial" w:cs="Arial"/>
        <w:sz w:val="20"/>
        <w:szCs w:val="20"/>
      </w:rPr>
      <w:t>A</w:t>
    </w:r>
    <w:r w:rsidRPr="00C77B5A">
      <w:rPr>
        <w:rFonts w:ascii="Arial" w:hAnsi="Arial" w:cs="Arial"/>
        <w:sz w:val="20"/>
        <w:szCs w:val="20"/>
      </w:rPr>
      <w:t>-0</w:t>
    </w:r>
    <w:r w:rsidR="00753710">
      <w:rPr>
        <w:rFonts w:ascii="Arial" w:hAnsi="Arial" w:cs="Arial"/>
        <w:sz w:val="20"/>
        <w:szCs w:val="20"/>
      </w:rPr>
      <w:t>622</w:t>
    </w:r>
    <w:r w:rsidRPr="00C77B5A">
      <w:rPr>
        <w:rFonts w:ascii="Arial" w:hAnsi="Arial" w:cs="Arial"/>
        <w:sz w:val="20"/>
        <w:szCs w:val="20"/>
      </w:rPr>
      <w:t>-G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76CBD" w14:textId="77777777" w:rsidR="00A10FE8" w:rsidRDefault="00A10FE8" w:rsidP="00235573">
      <w:pPr>
        <w:spacing w:after="0" w:line="240" w:lineRule="auto"/>
      </w:pPr>
      <w:r>
        <w:separator/>
      </w:r>
    </w:p>
  </w:footnote>
  <w:footnote w:type="continuationSeparator" w:id="0">
    <w:p w14:paraId="36616E20" w14:textId="77777777" w:rsidR="00A10FE8" w:rsidRDefault="00A10FE8" w:rsidP="0023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779C3" w14:textId="77777777" w:rsidR="004A362E" w:rsidRPr="00082D3E" w:rsidRDefault="004A362E" w:rsidP="004A362E">
    <w:pPr>
      <w:pStyle w:val="Header"/>
      <w:rPr>
        <w:rFonts w:ascii="Arial" w:hAnsi="Arial" w:cs="Arial"/>
        <w:sz w:val="20"/>
        <w:szCs w:val="20"/>
      </w:rPr>
    </w:pPr>
    <w:r w:rsidRPr="00082D3E">
      <w:rPr>
        <w:rFonts w:ascii="Arial" w:hAnsi="Arial" w:cs="Arial"/>
        <w:sz w:val="20"/>
        <w:szCs w:val="20"/>
      </w:rPr>
      <w:t>Hospital logo here</w:t>
    </w:r>
  </w:p>
  <w:p w14:paraId="5EC39FEC" w14:textId="77777777" w:rsidR="004A362E" w:rsidRDefault="004A3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9198C"/>
    <w:multiLevelType w:val="hybridMultilevel"/>
    <w:tmpl w:val="7E841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B87F04"/>
    <w:multiLevelType w:val="hybridMultilevel"/>
    <w:tmpl w:val="CFEE6F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5F0F"/>
    <w:multiLevelType w:val="hybridMultilevel"/>
    <w:tmpl w:val="4FBC75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341473"/>
    <w:multiLevelType w:val="hybridMultilevel"/>
    <w:tmpl w:val="84042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2"/>
    <w:docVar w:name="SWDocIDLocation" w:val="0"/>
  </w:docVars>
  <w:rsids>
    <w:rsidRoot w:val="007E1950"/>
    <w:rsid w:val="00000481"/>
    <w:rsid w:val="00000AF9"/>
    <w:rsid w:val="000075E0"/>
    <w:rsid w:val="00007A44"/>
    <w:rsid w:val="00014643"/>
    <w:rsid w:val="000206AC"/>
    <w:rsid w:val="000243A7"/>
    <w:rsid w:val="000354BD"/>
    <w:rsid w:val="00035F1F"/>
    <w:rsid w:val="00043250"/>
    <w:rsid w:val="00045708"/>
    <w:rsid w:val="000470A0"/>
    <w:rsid w:val="00047E21"/>
    <w:rsid w:val="00052AAC"/>
    <w:rsid w:val="00053402"/>
    <w:rsid w:val="0006092F"/>
    <w:rsid w:val="00060D84"/>
    <w:rsid w:val="00063980"/>
    <w:rsid w:val="0006468A"/>
    <w:rsid w:val="000666F5"/>
    <w:rsid w:val="00067661"/>
    <w:rsid w:val="00071E25"/>
    <w:rsid w:val="0007347E"/>
    <w:rsid w:val="00074A5F"/>
    <w:rsid w:val="00074E11"/>
    <w:rsid w:val="00077A59"/>
    <w:rsid w:val="00081E2C"/>
    <w:rsid w:val="00082539"/>
    <w:rsid w:val="00082D3E"/>
    <w:rsid w:val="00085542"/>
    <w:rsid w:val="000855C6"/>
    <w:rsid w:val="000861FE"/>
    <w:rsid w:val="000873E7"/>
    <w:rsid w:val="000902DD"/>
    <w:rsid w:val="0009258C"/>
    <w:rsid w:val="00093BA5"/>
    <w:rsid w:val="00094469"/>
    <w:rsid w:val="0009489A"/>
    <w:rsid w:val="00096DF4"/>
    <w:rsid w:val="00097476"/>
    <w:rsid w:val="000A0D3B"/>
    <w:rsid w:val="000A1A07"/>
    <w:rsid w:val="000A1A44"/>
    <w:rsid w:val="000A7510"/>
    <w:rsid w:val="000B31B5"/>
    <w:rsid w:val="000B34CC"/>
    <w:rsid w:val="000C0D53"/>
    <w:rsid w:val="000C5F6F"/>
    <w:rsid w:val="000C6967"/>
    <w:rsid w:val="000D490D"/>
    <w:rsid w:val="000D757B"/>
    <w:rsid w:val="000E1D6D"/>
    <w:rsid w:val="000E2F40"/>
    <w:rsid w:val="000F0224"/>
    <w:rsid w:val="000F0B7B"/>
    <w:rsid w:val="000F1A99"/>
    <w:rsid w:val="000F21CE"/>
    <w:rsid w:val="000F44E7"/>
    <w:rsid w:val="000F5707"/>
    <w:rsid w:val="000F5F49"/>
    <w:rsid w:val="00100277"/>
    <w:rsid w:val="00102DC3"/>
    <w:rsid w:val="001044C1"/>
    <w:rsid w:val="00106E9A"/>
    <w:rsid w:val="001108C7"/>
    <w:rsid w:val="001141A0"/>
    <w:rsid w:val="00114B3E"/>
    <w:rsid w:val="001208B0"/>
    <w:rsid w:val="00124A95"/>
    <w:rsid w:val="00124B20"/>
    <w:rsid w:val="00124BA4"/>
    <w:rsid w:val="00124BFC"/>
    <w:rsid w:val="00131C32"/>
    <w:rsid w:val="001323C4"/>
    <w:rsid w:val="001340B7"/>
    <w:rsid w:val="001374BD"/>
    <w:rsid w:val="001416FD"/>
    <w:rsid w:val="00143791"/>
    <w:rsid w:val="00143C54"/>
    <w:rsid w:val="00144F64"/>
    <w:rsid w:val="001534BA"/>
    <w:rsid w:val="00160B5D"/>
    <w:rsid w:val="001610D5"/>
    <w:rsid w:val="00162426"/>
    <w:rsid w:val="00162CFA"/>
    <w:rsid w:val="00163B9A"/>
    <w:rsid w:val="0016541A"/>
    <w:rsid w:val="00165D7B"/>
    <w:rsid w:val="0017137A"/>
    <w:rsid w:val="00172925"/>
    <w:rsid w:val="001769CA"/>
    <w:rsid w:val="00176D8D"/>
    <w:rsid w:val="00182796"/>
    <w:rsid w:val="00182DB7"/>
    <w:rsid w:val="00183188"/>
    <w:rsid w:val="0018692C"/>
    <w:rsid w:val="00192DE4"/>
    <w:rsid w:val="00195499"/>
    <w:rsid w:val="00195CEE"/>
    <w:rsid w:val="00196C12"/>
    <w:rsid w:val="001A3097"/>
    <w:rsid w:val="001B19A8"/>
    <w:rsid w:val="001B1FF8"/>
    <w:rsid w:val="001B2B69"/>
    <w:rsid w:val="001B3B2E"/>
    <w:rsid w:val="001B70DB"/>
    <w:rsid w:val="001B769E"/>
    <w:rsid w:val="001B7C87"/>
    <w:rsid w:val="001C18AF"/>
    <w:rsid w:val="001C3944"/>
    <w:rsid w:val="001C464C"/>
    <w:rsid w:val="001C50B8"/>
    <w:rsid w:val="001C7258"/>
    <w:rsid w:val="001C7714"/>
    <w:rsid w:val="001C7B01"/>
    <w:rsid w:val="001C7DF4"/>
    <w:rsid w:val="001D092C"/>
    <w:rsid w:val="001D0ACE"/>
    <w:rsid w:val="001D1AAB"/>
    <w:rsid w:val="001D4BC3"/>
    <w:rsid w:val="001D5149"/>
    <w:rsid w:val="001D559B"/>
    <w:rsid w:val="001D5DBF"/>
    <w:rsid w:val="001E4E13"/>
    <w:rsid w:val="001E5939"/>
    <w:rsid w:val="001E6451"/>
    <w:rsid w:val="001E73C0"/>
    <w:rsid w:val="001F1E93"/>
    <w:rsid w:val="001F32E5"/>
    <w:rsid w:val="001F5781"/>
    <w:rsid w:val="001F5956"/>
    <w:rsid w:val="001F6E62"/>
    <w:rsid w:val="001F7DD4"/>
    <w:rsid w:val="001F7FE0"/>
    <w:rsid w:val="00200F0E"/>
    <w:rsid w:val="0020403C"/>
    <w:rsid w:val="002078F1"/>
    <w:rsid w:val="00210404"/>
    <w:rsid w:val="002127E8"/>
    <w:rsid w:val="00212A59"/>
    <w:rsid w:val="002135E4"/>
    <w:rsid w:val="0021565B"/>
    <w:rsid w:val="002174BA"/>
    <w:rsid w:val="00222A82"/>
    <w:rsid w:val="0022644A"/>
    <w:rsid w:val="00230D6C"/>
    <w:rsid w:val="00231D20"/>
    <w:rsid w:val="002329F4"/>
    <w:rsid w:val="00232B13"/>
    <w:rsid w:val="00235573"/>
    <w:rsid w:val="002403E8"/>
    <w:rsid w:val="002409F6"/>
    <w:rsid w:val="002424C3"/>
    <w:rsid w:val="002430D0"/>
    <w:rsid w:val="00243F97"/>
    <w:rsid w:val="00246EF6"/>
    <w:rsid w:val="002477F8"/>
    <w:rsid w:val="00250C56"/>
    <w:rsid w:val="00261600"/>
    <w:rsid w:val="002655D8"/>
    <w:rsid w:val="00266392"/>
    <w:rsid w:val="00266423"/>
    <w:rsid w:val="00274CD0"/>
    <w:rsid w:val="00283558"/>
    <w:rsid w:val="00284F71"/>
    <w:rsid w:val="00290E69"/>
    <w:rsid w:val="00292500"/>
    <w:rsid w:val="00296319"/>
    <w:rsid w:val="002A11B1"/>
    <w:rsid w:val="002A18A3"/>
    <w:rsid w:val="002A1D1E"/>
    <w:rsid w:val="002A26C2"/>
    <w:rsid w:val="002A7F73"/>
    <w:rsid w:val="002B1159"/>
    <w:rsid w:val="002B156B"/>
    <w:rsid w:val="002B4816"/>
    <w:rsid w:val="002B7B8D"/>
    <w:rsid w:val="002C087C"/>
    <w:rsid w:val="002C2B71"/>
    <w:rsid w:val="002C45DC"/>
    <w:rsid w:val="002C5EFA"/>
    <w:rsid w:val="002C60A8"/>
    <w:rsid w:val="002D0C7D"/>
    <w:rsid w:val="002D1B6D"/>
    <w:rsid w:val="002D21A6"/>
    <w:rsid w:val="002D4008"/>
    <w:rsid w:val="002D4E67"/>
    <w:rsid w:val="002D59D8"/>
    <w:rsid w:val="002D7516"/>
    <w:rsid w:val="002D7DD6"/>
    <w:rsid w:val="002E05CA"/>
    <w:rsid w:val="002E185E"/>
    <w:rsid w:val="002E2C58"/>
    <w:rsid w:val="002E3635"/>
    <w:rsid w:val="002E7022"/>
    <w:rsid w:val="002E79E7"/>
    <w:rsid w:val="002F052F"/>
    <w:rsid w:val="002F1B45"/>
    <w:rsid w:val="002F2673"/>
    <w:rsid w:val="002F398D"/>
    <w:rsid w:val="0030144D"/>
    <w:rsid w:val="0030466D"/>
    <w:rsid w:val="003053B3"/>
    <w:rsid w:val="003075A8"/>
    <w:rsid w:val="00312C07"/>
    <w:rsid w:val="00313A1A"/>
    <w:rsid w:val="0031471A"/>
    <w:rsid w:val="00317723"/>
    <w:rsid w:val="003208F6"/>
    <w:rsid w:val="0032274D"/>
    <w:rsid w:val="00322956"/>
    <w:rsid w:val="00323772"/>
    <w:rsid w:val="00324CDC"/>
    <w:rsid w:val="00325EF3"/>
    <w:rsid w:val="003277A2"/>
    <w:rsid w:val="003311F1"/>
    <w:rsid w:val="003320FB"/>
    <w:rsid w:val="003337FD"/>
    <w:rsid w:val="00333EB7"/>
    <w:rsid w:val="00334934"/>
    <w:rsid w:val="00334EAE"/>
    <w:rsid w:val="00334EEA"/>
    <w:rsid w:val="00334F65"/>
    <w:rsid w:val="003352D8"/>
    <w:rsid w:val="00337C7F"/>
    <w:rsid w:val="003451ED"/>
    <w:rsid w:val="00345728"/>
    <w:rsid w:val="00346D5A"/>
    <w:rsid w:val="0034775F"/>
    <w:rsid w:val="00350A42"/>
    <w:rsid w:val="0035268D"/>
    <w:rsid w:val="00355AC0"/>
    <w:rsid w:val="00356FD8"/>
    <w:rsid w:val="0036188A"/>
    <w:rsid w:val="00363C22"/>
    <w:rsid w:val="00365A1D"/>
    <w:rsid w:val="00365BCD"/>
    <w:rsid w:val="00365D92"/>
    <w:rsid w:val="00366AF0"/>
    <w:rsid w:val="00370ED9"/>
    <w:rsid w:val="003710F3"/>
    <w:rsid w:val="00374FA1"/>
    <w:rsid w:val="00382166"/>
    <w:rsid w:val="00385C9F"/>
    <w:rsid w:val="00386030"/>
    <w:rsid w:val="00390039"/>
    <w:rsid w:val="00391329"/>
    <w:rsid w:val="00396837"/>
    <w:rsid w:val="003977C7"/>
    <w:rsid w:val="00397D53"/>
    <w:rsid w:val="003A1258"/>
    <w:rsid w:val="003A21CC"/>
    <w:rsid w:val="003A2A95"/>
    <w:rsid w:val="003A2B62"/>
    <w:rsid w:val="003A36D7"/>
    <w:rsid w:val="003B0D89"/>
    <w:rsid w:val="003B1EBF"/>
    <w:rsid w:val="003B2FCE"/>
    <w:rsid w:val="003B4A7E"/>
    <w:rsid w:val="003B4CC4"/>
    <w:rsid w:val="003B782C"/>
    <w:rsid w:val="003C1947"/>
    <w:rsid w:val="003C4543"/>
    <w:rsid w:val="003C5C54"/>
    <w:rsid w:val="003D1482"/>
    <w:rsid w:val="003D23FE"/>
    <w:rsid w:val="003D3F18"/>
    <w:rsid w:val="003D665B"/>
    <w:rsid w:val="003D7083"/>
    <w:rsid w:val="003D7AF4"/>
    <w:rsid w:val="003E0162"/>
    <w:rsid w:val="003E0371"/>
    <w:rsid w:val="003E1690"/>
    <w:rsid w:val="003E4766"/>
    <w:rsid w:val="003E7309"/>
    <w:rsid w:val="003F26CE"/>
    <w:rsid w:val="003F68E2"/>
    <w:rsid w:val="0040298E"/>
    <w:rsid w:val="00402D71"/>
    <w:rsid w:val="00407DDF"/>
    <w:rsid w:val="0041072C"/>
    <w:rsid w:val="00410A89"/>
    <w:rsid w:val="00413010"/>
    <w:rsid w:val="004130D8"/>
    <w:rsid w:val="004179F6"/>
    <w:rsid w:val="00417FCD"/>
    <w:rsid w:val="00420AB2"/>
    <w:rsid w:val="00421D54"/>
    <w:rsid w:val="00424276"/>
    <w:rsid w:val="004244D9"/>
    <w:rsid w:val="00424550"/>
    <w:rsid w:val="00424B76"/>
    <w:rsid w:val="00425387"/>
    <w:rsid w:val="00425435"/>
    <w:rsid w:val="00431ACD"/>
    <w:rsid w:val="00433CC2"/>
    <w:rsid w:val="004369B9"/>
    <w:rsid w:val="00442881"/>
    <w:rsid w:val="00446022"/>
    <w:rsid w:val="004523D0"/>
    <w:rsid w:val="00452443"/>
    <w:rsid w:val="00452A1D"/>
    <w:rsid w:val="004560B7"/>
    <w:rsid w:val="00460D6A"/>
    <w:rsid w:val="0046263A"/>
    <w:rsid w:val="004629FF"/>
    <w:rsid w:val="00465F15"/>
    <w:rsid w:val="004704B6"/>
    <w:rsid w:val="00471494"/>
    <w:rsid w:val="00472DCC"/>
    <w:rsid w:val="00473C41"/>
    <w:rsid w:val="00481DE6"/>
    <w:rsid w:val="00487128"/>
    <w:rsid w:val="00490D35"/>
    <w:rsid w:val="00493B27"/>
    <w:rsid w:val="00495852"/>
    <w:rsid w:val="00496AF3"/>
    <w:rsid w:val="00496FD6"/>
    <w:rsid w:val="00497056"/>
    <w:rsid w:val="004A1518"/>
    <w:rsid w:val="004A2BC3"/>
    <w:rsid w:val="004A362E"/>
    <w:rsid w:val="004A68F3"/>
    <w:rsid w:val="004A7BF9"/>
    <w:rsid w:val="004A7EF9"/>
    <w:rsid w:val="004B4E60"/>
    <w:rsid w:val="004B64DA"/>
    <w:rsid w:val="004B7A61"/>
    <w:rsid w:val="004C4B44"/>
    <w:rsid w:val="004C5397"/>
    <w:rsid w:val="004C7439"/>
    <w:rsid w:val="004D0B58"/>
    <w:rsid w:val="004D111D"/>
    <w:rsid w:val="004D4299"/>
    <w:rsid w:val="004D5388"/>
    <w:rsid w:val="004D7104"/>
    <w:rsid w:val="004D7C39"/>
    <w:rsid w:val="004D7F4F"/>
    <w:rsid w:val="004E05B4"/>
    <w:rsid w:val="004E30E9"/>
    <w:rsid w:val="004E7832"/>
    <w:rsid w:val="004F2703"/>
    <w:rsid w:val="004F3468"/>
    <w:rsid w:val="004F38F1"/>
    <w:rsid w:val="004F3D41"/>
    <w:rsid w:val="004F3E11"/>
    <w:rsid w:val="004F6586"/>
    <w:rsid w:val="00503E23"/>
    <w:rsid w:val="00505F26"/>
    <w:rsid w:val="0050724C"/>
    <w:rsid w:val="005072D7"/>
    <w:rsid w:val="0051350D"/>
    <w:rsid w:val="0051482C"/>
    <w:rsid w:val="00516578"/>
    <w:rsid w:val="00516C89"/>
    <w:rsid w:val="00521990"/>
    <w:rsid w:val="00522D65"/>
    <w:rsid w:val="00523E17"/>
    <w:rsid w:val="00524558"/>
    <w:rsid w:val="00525BAF"/>
    <w:rsid w:val="00525D69"/>
    <w:rsid w:val="005270BC"/>
    <w:rsid w:val="005326BC"/>
    <w:rsid w:val="00533DAC"/>
    <w:rsid w:val="00535C36"/>
    <w:rsid w:val="0054026F"/>
    <w:rsid w:val="00540DEE"/>
    <w:rsid w:val="00542760"/>
    <w:rsid w:val="00544D7E"/>
    <w:rsid w:val="005463A1"/>
    <w:rsid w:val="0054661A"/>
    <w:rsid w:val="00546B57"/>
    <w:rsid w:val="00547E19"/>
    <w:rsid w:val="00551C10"/>
    <w:rsid w:val="00553160"/>
    <w:rsid w:val="00553B91"/>
    <w:rsid w:val="00557A3B"/>
    <w:rsid w:val="00562BBF"/>
    <w:rsid w:val="00570C8A"/>
    <w:rsid w:val="00571C24"/>
    <w:rsid w:val="00576AFA"/>
    <w:rsid w:val="005846BA"/>
    <w:rsid w:val="00590B3C"/>
    <w:rsid w:val="00593764"/>
    <w:rsid w:val="00594BFD"/>
    <w:rsid w:val="005A10E9"/>
    <w:rsid w:val="005A4808"/>
    <w:rsid w:val="005A5284"/>
    <w:rsid w:val="005A5C19"/>
    <w:rsid w:val="005A5FDA"/>
    <w:rsid w:val="005A610F"/>
    <w:rsid w:val="005A6B39"/>
    <w:rsid w:val="005A7FD0"/>
    <w:rsid w:val="005B1775"/>
    <w:rsid w:val="005B5881"/>
    <w:rsid w:val="005B7F02"/>
    <w:rsid w:val="005C2AA1"/>
    <w:rsid w:val="005C5028"/>
    <w:rsid w:val="005C5FA1"/>
    <w:rsid w:val="005C7D8B"/>
    <w:rsid w:val="005D19CC"/>
    <w:rsid w:val="005D1FD4"/>
    <w:rsid w:val="005D204C"/>
    <w:rsid w:val="005D2D4F"/>
    <w:rsid w:val="005D4C58"/>
    <w:rsid w:val="005D766B"/>
    <w:rsid w:val="005D7BAE"/>
    <w:rsid w:val="005F10C2"/>
    <w:rsid w:val="005F2BB4"/>
    <w:rsid w:val="005F4244"/>
    <w:rsid w:val="005F52C9"/>
    <w:rsid w:val="005F625E"/>
    <w:rsid w:val="005F6660"/>
    <w:rsid w:val="005F78F8"/>
    <w:rsid w:val="006007C1"/>
    <w:rsid w:val="006008B4"/>
    <w:rsid w:val="00601CDA"/>
    <w:rsid w:val="00603AD1"/>
    <w:rsid w:val="00606929"/>
    <w:rsid w:val="00610A4D"/>
    <w:rsid w:val="0061187B"/>
    <w:rsid w:val="006138E9"/>
    <w:rsid w:val="006142EB"/>
    <w:rsid w:val="00615706"/>
    <w:rsid w:val="0061650B"/>
    <w:rsid w:val="006231FC"/>
    <w:rsid w:val="006275BF"/>
    <w:rsid w:val="00631B3F"/>
    <w:rsid w:val="00632E0D"/>
    <w:rsid w:val="00633826"/>
    <w:rsid w:val="00633F85"/>
    <w:rsid w:val="00635ADC"/>
    <w:rsid w:val="0063601A"/>
    <w:rsid w:val="0063686D"/>
    <w:rsid w:val="00637188"/>
    <w:rsid w:val="006400FC"/>
    <w:rsid w:val="00642DFD"/>
    <w:rsid w:val="00643681"/>
    <w:rsid w:val="00645B18"/>
    <w:rsid w:val="00646CD9"/>
    <w:rsid w:val="00647AC6"/>
    <w:rsid w:val="00651187"/>
    <w:rsid w:val="006529EA"/>
    <w:rsid w:val="00655AF1"/>
    <w:rsid w:val="006568C8"/>
    <w:rsid w:val="00656DC1"/>
    <w:rsid w:val="00660EB5"/>
    <w:rsid w:val="00661756"/>
    <w:rsid w:val="0066207D"/>
    <w:rsid w:val="006700DA"/>
    <w:rsid w:val="00670237"/>
    <w:rsid w:val="00672319"/>
    <w:rsid w:val="00674C6E"/>
    <w:rsid w:val="00675E05"/>
    <w:rsid w:val="006778C9"/>
    <w:rsid w:val="00677953"/>
    <w:rsid w:val="00690B10"/>
    <w:rsid w:val="00695CC5"/>
    <w:rsid w:val="00697189"/>
    <w:rsid w:val="006A12E3"/>
    <w:rsid w:val="006A130D"/>
    <w:rsid w:val="006A1C5E"/>
    <w:rsid w:val="006B1792"/>
    <w:rsid w:val="006B17B4"/>
    <w:rsid w:val="006B7FF4"/>
    <w:rsid w:val="006C33E7"/>
    <w:rsid w:val="006C60DE"/>
    <w:rsid w:val="006D1CD6"/>
    <w:rsid w:val="006D62FD"/>
    <w:rsid w:val="006E00CC"/>
    <w:rsid w:val="006E173A"/>
    <w:rsid w:val="006E4145"/>
    <w:rsid w:val="006E6AA7"/>
    <w:rsid w:val="006F4DB9"/>
    <w:rsid w:val="006F5BB3"/>
    <w:rsid w:val="006F60C3"/>
    <w:rsid w:val="006F6E96"/>
    <w:rsid w:val="00700F38"/>
    <w:rsid w:val="007101F7"/>
    <w:rsid w:val="00710991"/>
    <w:rsid w:val="007109A1"/>
    <w:rsid w:val="007137D7"/>
    <w:rsid w:val="00715122"/>
    <w:rsid w:val="00730DB6"/>
    <w:rsid w:val="00737C36"/>
    <w:rsid w:val="0074190E"/>
    <w:rsid w:val="00742F46"/>
    <w:rsid w:val="0074354F"/>
    <w:rsid w:val="00743FEE"/>
    <w:rsid w:val="0074493F"/>
    <w:rsid w:val="00745499"/>
    <w:rsid w:val="00746024"/>
    <w:rsid w:val="00750F9E"/>
    <w:rsid w:val="00753710"/>
    <w:rsid w:val="00755CD3"/>
    <w:rsid w:val="00760266"/>
    <w:rsid w:val="00766861"/>
    <w:rsid w:val="00766CEC"/>
    <w:rsid w:val="00771B1F"/>
    <w:rsid w:val="0077230A"/>
    <w:rsid w:val="00783F57"/>
    <w:rsid w:val="0078527B"/>
    <w:rsid w:val="007872A9"/>
    <w:rsid w:val="007877EB"/>
    <w:rsid w:val="00790E81"/>
    <w:rsid w:val="00793490"/>
    <w:rsid w:val="0079487E"/>
    <w:rsid w:val="00794E6A"/>
    <w:rsid w:val="007955FA"/>
    <w:rsid w:val="00796157"/>
    <w:rsid w:val="00797A76"/>
    <w:rsid w:val="007A204E"/>
    <w:rsid w:val="007A2B84"/>
    <w:rsid w:val="007A4E11"/>
    <w:rsid w:val="007A6608"/>
    <w:rsid w:val="007A6B2D"/>
    <w:rsid w:val="007A744A"/>
    <w:rsid w:val="007B0AF5"/>
    <w:rsid w:val="007B1A0C"/>
    <w:rsid w:val="007B4388"/>
    <w:rsid w:val="007B784F"/>
    <w:rsid w:val="007C1995"/>
    <w:rsid w:val="007C339D"/>
    <w:rsid w:val="007C3467"/>
    <w:rsid w:val="007C4754"/>
    <w:rsid w:val="007C5D4C"/>
    <w:rsid w:val="007C74F5"/>
    <w:rsid w:val="007D3E64"/>
    <w:rsid w:val="007E1950"/>
    <w:rsid w:val="007E6750"/>
    <w:rsid w:val="007F4212"/>
    <w:rsid w:val="007F6AFF"/>
    <w:rsid w:val="007F73AD"/>
    <w:rsid w:val="008011EF"/>
    <w:rsid w:val="00804FD8"/>
    <w:rsid w:val="00807D9B"/>
    <w:rsid w:val="00812403"/>
    <w:rsid w:val="00814F4A"/>
    <w:rsid w:val="0081519C"/>
    <w:rsid w:val="00815F24"/>
    <w:rsid w:val="008218DD"/>
    <w:rsid w:val="00822956"/>
    <w:rsid w:val="008260C5"/>
    <w:rsid w:val="0082798D"/>
    <w:rsid w:val="008330DC"/>
    <w:rsid w:val="00833746"/>
    <w:rsid w:val="00834F33"/>
    <w:rsid w:val="00835D9E"/>
    <w:rsid w:val="00837FC8"/>
    <w:rsid w:val="00842E3F"/>
    <w:rsid w:val="008442E6"/>
    <w:rsid w:val="0084475C"/>
    <w:rsid w:val="00844A46"/>
    <w:rsid w:val="00846149"/>
    <w:rsid w:val="00846791"/>
    <w:rsid w:val="00847ADA"/>
    <w:rsid w:val="00851D74"/>
    <w:rsid w:val="0085347E"/>
    <w:rsid w:val="00862A18"/>
    <w:rsid w:val="0086302F"/>
    <w:rsid w:val="008648CE"/>
    <w:rsid w:val="00866E0C"/>
    <w:rsid w:val="00873796"/>
    <w:rsid w:val="0087546A"/>
    <w:rsid w:val="008772FE"/>
    <w:rsid w:val="0088660C"/>
    <w:rsid w:val="00890443"/>
    <w:rsid w:val="008928FF"/>
    <w:rsid w:val="008931B2"/>
    <w:rsid w:val="008938D2"/>
    <w:rsid w:val="00897220"/>
    <w:rsid w:val="0089778B"/>
    <w:rsid w:val="008A05F6"/>
    <w:rsid w:val="008A0E48"/>
    <w:rsid w:val="008A3B85"/>
    <w:rsid w:val="008A5D25"/>
    <w:rsid w:val="008A609B"/>
    <w:rsid w:val="008A6A28"/>
    <w:rsid w:val="008B0F3E"/>
    <w:rsid w:val="008B21BB"/>
    <w:rsid w:val="008B2EF6"/>
    <w:rsid w:val="008B682B"/>
    <w:rsid w:val="008B7329"/>
    <w:rsid w:val="008C3297"/>
    <w:rsid w:val="008C5102"/>
    <w:rsid w:val="008C56C4"/>
    <w:rsid w:val="008C621C"/>
    <w:rsid w:val="008C62B6"/>
    <w:rsid w:val="008C72CA"/>
    <w:rsid w:val="008C73B1"/>
    <w:rsid w:val="008D0A23"/>
    <w:rsid w:val="008D2C70"/>
    <w:rsid w:val="008D3EF0"/>
    <w:rsid w:val="008D5E8B"/>
    <w:rsid w:val="008D7B84"/>
    <w:rsid w:val="008E03E7"/>
    <w:rsid w:val="008E1425"/>
    <w:rsid w:val="008E1E76"/>
    <w:rsid w:val="008E3E02"/>
    <w:rsid w:val="008F030F"/>
    <w:rsid w:val="008F2F3E"/>
    <w:rsid w:val="008F477F"/>
    <w:rsid w:val="008F7D13"/>
    <w:rsid w:val="00900E75"/>
    <w:rsid w:val="009102AA"/>
    <w:rsid w:val="00911163"/>
    <w:rsid w:val="0091216E"/>
    <w:rsid w:val="0091323B"/>
    <w:rsid w:val="00914581"/>
    <w:rsid w:val="00914BAF"/>
    <w:rsid w:val="00916EB6"/>
    <w:rsid w:val="009173C9"/>
    <w:rsid w:val="00917BBD"/>
    <w:rsid w:val="009226B0"/>
    <w:rsid w:val="00926531"/>
    <w:rsid w:val="00926BF9"/>
    <w:rsid w:val="00930537"/>
    <w:rsid w:val="00932CF1"/>
    <w:rsid w:val="0093653E"/>
    <w:rsid w:val="00944D18"/>
    <w:rsid w:val="00946553"/>
    <w:rsid w:val="00946D3D"/>
    <w:rsid w:val="00947A5C"/>
    <w:rsid w:val="00947BB1"/>
    <w:rsid w:val="0095147D"/>
    <w:rsid w:val="009523E9"/>
    <w:rsid w:val="00952689"/>
    <w:rsid w:val="00956DF3"/>
    <w:rsid w:val="00960939"/>
    <w:rsid w:val="00962095"/>
    <w:rsid w:val="00962325"/>
    <w:rsid w:val="0096294E"/>
    <w:rsid w:val="0096309D"/>
    <w:rsid w:val="00965DB0"/>
    <w:rsid w:val="0097052C"/>
    <w:rsid w:val="009732D3"/>
    <w:rsid w:val="00975294"/>
    <w:rsid w:val="00975B88"/>
    <w:rsid w:val="00975CDD"/>
    <w:rsid w:val="00976517"/>
    <w:rsid w:val="00977D2C"/>
    <w:rsid w:val="0098018A"/>
    <w:rsid w:val="0098760F"/>
    <w:rsid w:val="0099194C"/>
    <w:rsid w:val="00993C3D"/>
    <w:rsid w:val="00993DF4"/>
    <w:rsid w:val="00997C0B"/>
    <w:rsid w:val="009A1D28"/>
    <w:rsid w:val="009A293E"/>
    <w:rsid w:val="009A604B"/>
    <w:rsid w:val="009A7CCD"/>
    <w:rsid w:val="009B684F"/>
    <w:rsid w:val="009B7509"/>
    <w:rsid w:val="009C0814"/>
    <w:rsid w:val="009C168A"/>
    <w:rsid w:val="009C1BBE"/>
    <w:rsid w:val="009C1EE0"/>
    <w:rsid w:val="009C2852"/>
    <w:rsid w:val="009C28D2"/>
    <w:rsid w:val="009C4348"/>
    <w:rsid w:val="009C5012"/>
    <w:rsid w:val="009D0557"/>
    <w:rsid w:val="009D06C8"/>
    <w:rsid w:val="009D5A66"/>
    <w:rsid w:val="009D60CA"/>
    <w:rsid w:val="009D7A36"/>
    <w:rsid w:val="009E15F3"/>
    <w:rsid w:val="009E1890"/>
    <w:rsid w:val="009E25E7"/>
    <w:rsid w:val="009E34DC"/>
    <w:rsid w:val="009E41D8"/>
    <w:rsid w:val="009E7876"/>
    <w:rsid w:val="009F0F28"/>
    <w:rsid w:val="009F2A34"/>
    <w:rsid w:val="009F6D0C"/>
    <w:rsid w:val="009F704D"/>
    <w:rsid w:val="00A00C0B"/>
    <w:rsid w:val="00A02012"/>
    <w:rsid w:val="00A044EC"/>
    <w:rsid w:val="00A04D71"/>
    <w:rsid w:val="00A05E20"/>
    <w:rsid w:val="00A06BD8"/>
    <w:rsid w:val="00A075C0"/>
    <w:rsid w:val="00A109F8"/>
    <w:rsid w:val="00A10CD7"/>
    <w:rsid w:val="00A10D6A"/>
    <w:rsid w:val="00A10FE8"/>
    <w:rsid w:val="00A162AD"/>
    <w:rsid w:val="00A16B78"/>
    <w:rsid w:val="00A179F8"/>
    <w:rsid w:val="00A2040D"/>
    <w:rsid w:val="00A214C3"/>
    <w:rsid w:val="00A23423"/>
    <w:rsid w:val="00A268FD"/>
    <w:rsid w:val="00A27E38"/>
    <w:rsid w:val="00A3257F"/>
    <w:rsid w:val="00A361DB"/>
    <w:rsid w:val="00A374BA"/>
    <w:rsid w:val="00A37EEF"/>
    <w:rsid w:val="00A40700"/>
    <w:rsid w:val="00A4379A"/>
    <w:rsid w:val="00A505C3"/>
    <w:rsid w:val="00A54BF9"/>
    <w:rsid w:val="00A550F1"/>
    <w:rsid w:val="00A56B52"/>
    <w:rsid w:val="00A57A63"/>
    <w:rsid w:val="00A610DA"/>
    <w:rsid w:val="00A619B3"/>
    <w:rsid w:val="00A634BD"/>
    <w:rsid w:val="00A6664F"/>
    <w:rsid w:val="00A67CAF"/>
    <w:rsid w:val="00A67D33"/>
    <w:rsid w:val="00A67EDE"/>
    <w:rsid w:val="00A71BE0"/>
    <w:rsid w:val="00A72549"/>
    <w:rsid w:val="00A771E4"/>
    <w:rsid w:val="00A77FC1"/>
    <w:rsid w:val="00A8394B"/>
    <w:rsid w:val="00A83989"/>
    <w:rsid w:val="00A90726"/>
    <w:rsid w:val="00A93142"/>
    <w:rsid w:val="00A9324E"/>
    <w:rsid w:val="00A9453B"/>
    <w:rsid w:val="00A9658C"/>
    <w:rsid w:val="00AA0B13"/>
    <w:rsid w:val="00AA3A5D"/>
    <w:rsid w:val="00AA47F2"/>
    <w:rsid w:val="00AA5BD9"/>
    <w:rsid w:val="00AA75C1"/>
    <w:rsid w:val="00AB3AE8"/>
    <w:rsid w:val="00AC0403"/>
    <w:rsid w:val="00AC2355"/>
    <w:rsid w:val="00AC7F3A"/>
    <w:rsid w:val="00AD013D"/>
    <w:rsid w:val="00AD3EAE"/>
    <w:rsid w:val="00AD3FA8"/>
    <w:rsid w:val="00AD5872"/>
    <w:rsid w:val="00AD7EC0"/>
    <w:rsid w:val="00AE0889"/>
    <w:rsid w:val="00AE7516"/>
    <w:rsid w:val="00AE77BE"/>
    <w:rsid w:val="00AF05E7"/>
    <w:rsid w:val="00AF06AB"/>
    <w:rsid w:val="00AF0A85"/>
    <w:rsid w:val="00AF0CED"/>
    <w:rsid w:val="00AF4FA2"/>
    <w:rsid w:val="00AF5547"/>
    <w:rsid w:val="00AF616E"/>
    <w:rsid w:val="00B0346D"/>
    <w:rsid w:val="00B042E4"/>
    <w:rsid w:val="00B04D62"/>
    <w:rsid w:val="00B05575"/>
    <w:rsid w:val="00B065F3"/>
    <w:rsid w:val="00B15C7E"/>
    <w:rsid w:val="00B1780A"/>
    <w:rsid w:val="00B20A38"/>
    <w:rsid w:val="00B20D67"/>
    <w:rsid w:val="00B21D19"/>
    <w:rsid w:val="00B2447E"/>
    <w:rsid w:val="00B25C12"/>
    <w:rsid w:val="00B365A8"/>
    <w:rsid w:val="00B36C46"/>
    <w:rsid w:val="00B4074C"/>
    <w:rsid w:val="00B41103"/>
    <w:rsid w:val="00B42849"/>
    <w:rsid w:val="00B43A02"/>
    <w:rsid w:val="00B447F4"/>
    <w:rsid w:val="00B5017A"/>
    <w:rsid w:val="00B53521"/>
    <w:rsid w:val="00B548CB"/>
    <w:rsid w:val="00B56120"/>
    <w:rsid w:val="00B61150"/>
    <w:rsid w:val="00B61D53"/>
    <w:rsid w:val="00B64E81"/>
    <w:rsid w:val="00B64F84"/>
    <w:rsid w:val="00B656B9"/>
    <w:rsid w:val="00B65927"/>
    <w:rsid w:val="00B65A25"/>
    <w:rsid w:val="00B6661C"/>
    <w:rsid w:val="00B675A4"/>
    <w:rsid w:val="00B8157D"/>
    <w:rsid w:val="00B84C59"/>
    <w:rsid w:val="00B91BEC"/>
    <w:rsid w:val="00B93016"/>
    <w:rsid w:val="00B93AB2"/>
    <w:rsid w:val="00B95416"/>
    <w:rsid w:val="00BA04B9"/>
    <w:rsid w:val="00BA1DC1"/>
    <w:rsid w:val="00BA398F"/>
    <w:rsid w:val="00BA3BF1"/>
    <w:rsid w:val="00BA4D76"/>
    <w:rsid w:val="00BA6397"/>
    <w:rsid w:val="00BB047B"/>
    <w:rsid w:val="00BB3521"/>
    <w:rsid w:val="00BB6349"/>
    <w:rsid w:val="00BC147E"/>
    <w:rsid w:val="00BC390D"/>
    <w:rsid w:val="00BC6581"/>
    <w:rsid w:val="00BC73DA"/>
    <w:rsid w:val="00BD1AAD"/>
    <w:rsid w:val="00BD4F50"/>
    <w:rsid w:val="00BD73DB"/>
    <w:rsid w:val="00BE083F"/>
    <w:rsid w:val="00BE229E"/>
    <w:rsid w:val="00BE3EF3"/>
    <w:rsid w:val="00BE7BE9"/>
    <w:rsid w:val="00BF4FC2"/>
    <w:rsid w:val="00BF5D3E"/>
    <w:rsid w:val="00BF6BB8"/>
    <w:rsid w:val="00C02B5C"/>
    <w:rsid w:val="00C050AE"/>
    <w:rsid w:val="00C06419"/>
    <w:rsid w:val="00C06A6D"/>
    <w:rsid w:val="00C102CB"/>
    <w:rsid w:val="00C104C4"/>
    <w:rsid w:val="00C10A03"/>
    <w:rsid w:val="00C13A1B"/>
    <w:rsid w:val="00C14554"/>
    <w:rsid w:val="00C248CD"/>
    <w:rsid w:val="00C2600E"/>
    <w:rsid w:val="00C27DF9"/>
    <w:rsid w:val="00C33A47"/>
    <w:rsid w:val="00C348F0"/>
    <w:rsid w:val="00C349DF"/>
    <w:rsid w:val="00C34FAE"/>
    <w:rsid w:val="00C37BB6"/>
    <w:rsid w:val="00C40430"/>
    <w:rsid w:val="00C4235F"/>
    <w:rsid w:val="00C442D8"/>
    <w:rsid w:val="00C51AC3"/>
    <w:rsid w:val="00C53C49"/>
    <w:rsid w:val="00C54077"/>
    <w:rsid w:val="00C547ED"/>
    <w:rsid w:val="00C56CA5"/>
    <w:rsid w:val="00C5776C"/>
    <w:rsid w:val="00C60F64"/>
    <w:rsid w:val="00C6437E"/>
    <w:rsid w:val="00C66127"/>
    <w:rsid w:val="00C673AD"/>
    <w:rsid w:val="00C67B61"/>
    <w:rsid w:val="00C706E7"/>
    <w:rsid w:val="00C72689"/>
    <w:rsid w:val="00C735B7"/>
    <w:rsid w:val="00C75865"/>
    <w:rsid w:val="00C76CBD"/>
    <w:rsid w:val="00C77B5A"/>
    <w:rsid w:val="00C77CAE"/>
    <w:rsid w:val="00C8039A"/>
    <w:rsid w:val="00C832A1"/>
    <w:rsid w:val="00C8515C"/>
    <w:rsid w:val="00C90762"/>
    <w:rsid w:val="00C92DD6"/>
    <w:rsid w:val="00C93639"/>
    <w:rsid w:val="00C948D0"/>
    <w:rsid w:val="00C97165"/>
    <w:rsid w:val="00C97BEE"/>
    <w:rsid w:val="00CA0D73"/>
    <w:rsid w:val="00CA1A17"/>
    <w:rsid w:val="00CA3E21"/>
    <w:rsid w:val="00CA4BA2"/>
    <w:rsid w:val="00CA6F22"/>
    <w:rsid w:val="00CB22C7"/>
    <w:rsid w:val="00CB5E5F"/>
    <w:rsid w:val="00CB6836"/>
    <w:rsid w:val="00CB7457"/>
    <w:rsid w:val="00CB75DB"/>
    <w:rsid w:val="00CC0BF1"/>
    <w:rsid w:val="00CC2AEE"/>
    <w:rsid w:val="00CC3066"/>
    <w:rsid w:val="00CC49E6"/>
    <w:rsid w:val="00CC729B"/>
    <w:rsid w:val="00CC736A"/>
    <w:rsid w:val="00CD13DE"/>
    <w:rsid w:val="00CD4BD7"/>
    <w:rsid w:val="00CD5D82"/>
    <w:rsid w:val="00CD67B8"/>
    <w:rsid w:val="00CD754D"/>
    <w:rsid w:val="00CE1312"/>
    <w:rsid w:val="00CE2FB8"/>
    <w:rsid w:val="00CE5C3D"/>
    <w:rsid w:val="00CE68E0"/>
    <w:rsid w:val="00CE747C"/>
    <w:rsid w:val="00CF0E65"/>
    <w:rsid w:val="00CF1B2B"/>
    <w:rsid w:val="00CF2FF3"/>
    <w:rsid w:val="00CF49FC"/>
    <w:rsid w:val="00CF5301"/>
    <w:rsid w:val="00CF73D5"/>
    <w:rsid w:val="00D01C07"/>
    <w:rsid w:val="00D044B8"/>
    <w:rsid w:val="00D06548"/>
    <w:rsid w:val="00D1051E"/>
    <w:rsid w:val="00D11363"/>
    <w:rsid w:val="00D11EBA"/>
    <w:rsid w:val="00D122B0"/>
    <w:rsid w:val="00D2138B"/>
    <w:rsid w:val="00D21E8F"/>
    <w:rsid w:val="00D31714"/>
    <w:rsid w:val="00D34D31"/>
    <w:rsid w:val="00D359EE"/>
    <w:rsid w:val="00D35C9B"/>
    <w:rsid w:val="00D365A9"/>
    <w:rsid w:val="00D408B1"/>
    <w:rsid w:val="00D4344C"/>
    <w:rsid w:val="00D45790"/>
    <w:rsid w:val="00D45E4A"/>
    <w:rsid w:val="00D47D17"/>
    <w:rsid w:val="00D53F8A"/>
    <w:rsid w:val="00D568D1"/>
    <w:rsid w:val="00D626D3"/>
    <w:rsid w:val="00D62846"/>
    <w:rsid w:val="00D62B12"/>
    <w:rsid w:val="00D63FA9"/>
    <w:rsid w:val="00D70849"/>
    <w:rsid w:val="00D70B83"/>
    <w:rsid w:val="00D71110"/>
    <w:rsid w:val="00D73396"/>
    <w:rsid w:val="00D73F6F"/>
    <w:rsid w:val="00D75109"/>
    <w:rsid w:val="00D77F2C"/>
    <w:rsid w:val="00D80F4D"/>
    <w:rsid w:val="00D83BBD"/>
    <w:rsid w:val="00D83D31"/>
    <w:rsid w:val="00D84A0E"/>
    <w:rsid w:val="00D85E68"/>
    <w:rsid w:val="00D875A9"/>
    <w:rsid w:val="00D911E8"/>
    <w:rsid w:val="00D9125D"/>
    <w:rsid w:val="00D91DFB"/>
    <w:rsid w:val="00D924BD"/>
    <w:rsid w:val="00D92BF7"/>
    <w:rsid w:val="00D93914"/>
    <w:rsid w:val="00D939A9"/>
    <w:rsid w:val="00D94D3D"/>
    <w:rsid w:val="00D9592B"/>
    <w:rsid w:val="00D96E08"/>
    <w:rsid w:val="00DA0B70"/>
    <w:rsid w:val="00DA29FC"/>
    <w:rsid w:val="00DA3776"/>
    <w:rsid w:val="00DB1EAA"/>
    <w:rsid w:val="00DB6199"/>
    <w:rsid w:val="00DB7646"/>
    <w:rsid w:val="00DB79F7"/>
    <w:rsid w:val="00DC129D"/>
    <w:rsid w:val="00DC1915"/>
    <w:rsid w:val="00DC5985"/>
    <w:rsid w:val="00DD0AA3"/>
    <w:rsid w:val="00DD2864"/>
    <w:rsid w:val="00DD3B82"/>
    <w:rsid w:val="00DD67FD"/>
    <w:rsid w:val="00DE0339"/>
    <w:rsid w:val="00DE2761"/>
    <w:rsid w:val="00DE4E89"/>
    <w:rsid w:val="00DE59E6"/>
    <w:rsid w:val="00DE6163"/>
    <w:rsid w:val="00DE646A"/>
    <w:rsid w:val="00DE6D9A"/>
    <w:rsid w:val="00DF2C3D"/>
    <w:rsid w:val="00DF3C85"/>
    <w:rsid w:val="00DF51E5"/>
    <w:rsid w:val="00DF6C51"/>
    <w:rsid w:val="00DF7240"/>
    <w:rsid w:val="00E074F4"/>
    <w:rsid w:val="00E1021D"/>
    <w:rsid w:val="00E11F9E"/>
    <w:rsid w:val="00E12096"/>
    <w:rsid w:val="00E14504"/>
    <w:rsid w:val="00E172A8"/>
    <w:rsid w:val="00E17591"/>
    <w:rsid w:val="00E206F7"/>
    <w:rsid w:val="00E21F4F"/>
    <w:rsid w:val="00E22670"/>
    <w:rsid w:val="00E24539"/>
    <w:rsid w:val="00E3003C"/>
    <w:rsid w:val="00E313CE"/>
    <w:rsid w:val="00E31B76"/>
    <w:rsid w:val="00E32328"/>
    <w:rsid w:val="00E32638"/>
    <w:rsid w:val="00E333C3"/>
    <w:rsid w:val="00E35E96"/>
    <w:rsid w:val="00E420C8"/>
    <w:rsid w:val="00E42454"/>
    <w:rsid w:val="00E447A9"/>
    <w:rsid w:val="00E455B1"/>
    <w:rsid w:val="00E474A3"/>
    <w:rsid w:val="00E5000F"/>
    <w:rsid w:val="00E51577"/>
    <w:rsid w:val="00E516E0"/>
    <w:rsid w:val="00E54E19"/>
    <w:rsid w:val="00E55C36"/>
    <w:rsid w:val="00E6144F"/>
    <w:rsid w:val="00E62551"/>
    <w:rsid w:val="00E6426F"/>
    <w:rsid w:val="00E64DF5"/>
    <w:rsid w:val="00E651D5"/>
    <w:rsid w:val="00E65CCE"/>
    <w:rsid w:val="00E70D08"/>
    <w:rsid w:val="00E70F84"/>
    <w:rsid w:val="00E71738"/>
    <w:rsid w:val="00E71882"/>
    <w:rsid w:val="00E720B9"/>
    <w:rsid w:val="00E725C5"/>
    <w:rsid w:val="00E73C01"/>
    <w:rsid w:val="00E75D4F"/>
    <w:rsid w:val="00E762DA"/>
    <w:rsid w:val="00E779AC"/>
    <w:rsid w:val="00E84128"/>
    <w:rsid w:val="00E859E2"/>
    <w:rsid w:val="00E85A58"/>
    <w:rsid w:val="00E86F17"/>
    <w:rsid w:val="00E87FB4"/>
    <w:rsid w:val="00E92953"/>
    <w:rsid w:val="00E9583E"/>
    <w:rsid w:val="00EA0E02"/>
    <w:rsid w:val="00EA1380"/>
    <w:rsid w:val="00EA2122"/>
    <w:rsid w:val="00EA37AD"/>
    <w:rsid w:val="00EA4064"/>
    <w:rsid w:val="00EA462F"/>
    <w:rsid w:val="00EA48F9"/>
    <w:rsid w:val="00EA58B1"/>
    <w:rsid w:val="00EA5C9D"/>
    <w:rsid w:val="00EB2DB0"/>
    <w:rsid w:val="00EC2C79"/>
    <w:rsid w:val="00ED0CDA"/>
    <w:rsid w:val="00ED1C84"/>
    <w:rsid w:val="00ED7785"/>
    <w:rsid w:val="00EE18F3"/>
    <w:rsid w:val="00EE774E"/>
    <w:rsid w:val="00EE7D91"/>
    <w:rsid w:val="00EF1973"/>
    <w:rsid w:val="00EF3957"/>
    <w:rsid w:val="00EF39A9"/>
    <w:rsid w:val="00EF584D"/>
    <w:rsid w:val="00EF782C"/>
    <w:rsid w:val="00F00E6A"/>
    <w:rsid w:val="00F064EE"/>
    <w:rsid w:val="00F10B41"/>
    <w:rsid w:val="00F17AF3"/>
    <w:rsid w:val="00F20643"/>
    <w:rsid w:val="00F2292F"/>
    <w:rsid w:val="00F26117"/>
    <w:rsid w:val="00F32716"/>
    <w:rsid w:val="00F358AC"/>
    <w:rsid w:val="00F37D35"/>
    <w:rsid w:val="00F40002"/>
    <w:rsid w:val="00F40556"/>
    <w:rsid w:val="00F421CC"/>
    <w:rsid w:val="00F426EF"/>
    <w:rsid w:val="00F43ED1"/>
    <w:rsid w:val="00F445FC"/>
    <w:rsid w:val="00F46009"/>
    <w:rsid w:val="00F47FC7"/>
    <w:rsid w:val="00F521DE"/>
    <w:rsid w:val="00F55E2F"/>
    <w:rsid w:val="00F6006F"/>
    <w:rsid w:val="00F60121"/>
    <w:rsid w:val="00F62D31"/>
    <w:rsid w:val="00F63CA7"/>
    <w:rsid w:val="00F65BE7"/>
    <w:rsid w:val="00F734FF"/>
    <w:rsid w:val="00F77D7B"/>
    <w:rsid w:val="00F802F7"/>
    <w:rsid w:val="00F82BC3"/>
    <w:rsid w:val="00F83D8D"/>
    <w:rsid w:val="00F85598"/>
    <w:rsid w:val="00F86AAE"/>
    <w:rsid w:val="00F87C3F"/>
    <w:rsid w:val="00F907E6"/>
    <w:rsid w:val="00F92142"/>
    <w:rsid w:val="00F92769"/>
    <w:rsid w:val="00F92C64"/>
    <w:rsid w:val="00F9516D"/>
    <w:rsid w:val="00FA038F"/>
    <w:rsid w:val="00FA7CBC"/>
    <w:rsid w:val="00FB0277"/>
    <w:rsid w:val="00FB09C2"/>
    <w:rsid w:val="00FB232E"/>
    <w:rsid w:val="00FB24F1"/>
    <w:rsid w:val="00FB3138"/>
    <w:rsid w:val="00FB681E"/>
    <w:rsid w:val="00FC0990"/>
    <w:rsid w:val="00FC13F6"/>
    <w:rsid w:val="00FC28A8"/>
    <w:rsid w:val="00FC3996"/>
    <w:rsid w:val="00FC401A"/>
    <w:rsid w:val="00FC4FE5"/>
    <w:rsid w:val="00FC51B6"/>
    <w:rsid w:val="00FC7F79"/>
    <w:rsid w:val="00FD01FE"/>
    <w:rsid w:val="00FD0591"/>
    <w:rsid w:val="00FD203A"/>
    <w:rsid w:val="00FD5C95"/>
    <w:rsid w:val="00FD6891"/>
    <w:rsid w:val="00FD76A1"/>
    <w:rsid w:val="00FE1E6E"/>
    <w:rsid w:val="00FE3388"/>
    <w:rsid w:val="00FE3EA8"/>
    <w:rsid w:val="00FE460F"/>
    <w:rsid w:val="00FE6CE7"/>
    <w:rsid w:val="00FF165F"/>
    <w:rsid w:val="00FF2029"/>
    <w:rsid w:val="00FF4411"/>
    <w:rsid w:val="00FF5486"/>
    <w:rsid w:val="00FF5AB6"/>
    <w:rsid w:val="00FF5E5D"/>
    <w:rsid w:val="00FF678A"/>
    <w:rsid w:val="00FF7D1F"/>
    <w:rsid w:val="23DA7076"/>
    <w:rsid w:val="46BCA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8CA868F"/>
  <w15:docId w15:val="{D002CC1D-A4FD-43A3-BA4F-C2EFA946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0BF1"/>
    <w:pPr>
      <w:spacing w:after="150" w:line="240" w:lineRule="auto"/>
      <w:outlineLvl w:val="0"/>
    </w:pPr>
    <w:rPr>
      <w:rFonts w:ascii="inherit" w:eastAsia="Times New Roman" w:hAnsi="inherit" w:cs="Times New Roman"/>
      <w:kern w:val="36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950"/>
    <w:rPr>
      <w:color w:val="0000FF"/>
      <w:u w:val="single"/>
    </w:rPr>
  </w:style>
  <w:style w:type="paragraph" w:customStyle="1" w:styleId="Default">
    <w:name w:val="Default"/>
    <w:rsid w:val="00250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250C56"/>
  </w:style>
  <w:style w:type="paragraph" w:styleId="Header">
    <w:name w:val="header"/>
    <w:basedOn w:val="Normal"/>
    <w:link w:val="HeaderChar"/>
    <w:uiPriority w:val="99"/>
    <w:unhideWhenUsed/>
    <w:rsid w:val="00235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573"/>
  </w:style>
  <w:style w:type="paragraph" w:styleId="Footer">
    <w:name w:val="footer"/>
    <w:basedOn w:val="Normal"/>
    <w:link w:val="FooterChar"/>
    <w:uiPriority w:val="99"/>
    <w:unhideWhenUsed/>
    <w:rsid w:val="00235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573"/>
  </w:style>
  <w:style w:type="paragraph" w:styleId="BalloonText">
    <w:name w:val="Balloon Text"/>
    <w:basedOn w:val="Normal"/>
    <w:link w:val="BalloonTextChar"/>
    <w:uiPriority w:val="99"/>
    <w:semiHidden/>
    <w:unhideWhenUsed/>
    <w:rsid w:val="00235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5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4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5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5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5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7F3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E3EA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521990"/>
    <w:rPr>
      <w:i/>
      <w:iCs/>
    </w:rPr>
  </w:style>
  <w:style w:type="paragraph" w:styleId="NoSpacing">
    <w:name w:val="No Spacing"/>
    <w:uiPriority w:val="1"/>
    <w:qFormat/>
    <w:rsid w:val="008A5D2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BA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65A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05E7"/>
    <w:pPr>
      <w:ind w:left="720"/>
      <w:contextualSpacing/>
    </w:pPr>
  </w:style>
  <w:style w:type="table" w:styleId="TableGrid">
    <w:name w:val="Table Grid"/>
    <w:basedOn w:val="TableNormal"/>
    <w:uiPriority w:val="39"/>
    <w:rsid w:val="0074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DefaultParagraphFont"/>
    <w:rsid w:val="008928FF"/>
    <w:rPr>
      <w:rFonts w:ascii="Arial" w:eastAsia="Arial" w:hAnsi="Arial" w:cs="Arial"/>
      <w:b w:val="0"/>
      <w:bCs w:val="0"/>
      <w:i w:val="0"/>
      <w:iCs w:val="0"/>
      <w:smallCaps w:val="0"/>
      <w:strike w:val="0"/>
      <w:color w:val="9B9D9C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C0BF1"/>
    <w:rPr>
      <w:rFonts w:ascii="inherit" w:eastAsia="Times New Roman" w:hAnsi="inherit" w:cs="Times New Roman"/>
      <w:kern w:val="36"/>
      <w:sz w:val="66"/>
      <w:szCs w:val="66"/>
    </w:rPr>
  </w:style>
  <w:style w:type="paragraph" w:customStyle="1" w:styleId="Subtitle1">
    <w:name w:val="Subtitle1"/>
    <w:basedOn w:val="Normal"/>
    <w:rsid w:val="00CC0BF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C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4348"/>
  </w:style>
  <w:style w:type="character" w:customStyle="1" w:styleId="eop">
    <w:name w:val="eop"/>
    <w:basedOn w:val="DefaultParagraphFont"/>
    <w:rsid w:val="009C4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7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CF5717411B34DBC7FBB4EDC36CAAB" ma:contentTypeVersion="9" ma:contentTypeDescription="Create a new document." ma:contentTypeScope="" ma:versionID="40ae11c4436389f08693a99b3e7b0e52">
  <xsd:schema xmlns:xsd="http://www.w3.org/2001/XMLSchema" xmlns:xs="http://www.w3.org/2001/XMLSchema" xmlns:p="http://schemas.microsoft.com/office/2006/metadata/properties" xmlns:ns2="b8d96354-9980-4a44-bae4-91211e8eef1b" targetNamespace="http://schemas.microsoft.com/office/2006/metadata/properties" ma:root="true" ma:fieldsID="2b3d6285c7ac667bbf91c89cce04538f" ns2:_="">
    <xsd:import namespace="b8d96354-9980-4a44-bae4-91211e8ee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96354-9980-4a44-bae4-91211e8e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E9C7-88EB-468B-A71C-957FE8F9A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D868D-3597-49C7-A6DD-6AFB08803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80D6F3-293C-4D47-AF70-2E97BF33E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96354-9980-4a44-bae4-91211e8e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522A3-F52B-7343-8474-CA153E69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5219</Characters>
  <Application>Microsoft Office Word</Application>
  <DocSecurity>0</DocSecurity>
  <Lines>43</Lines>
  <Paragraphs>12</Paragraphs>
  <ScaleCrop>false</ScaleCrop>
  <Company>Microsoft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Troy May</dc:creator>
  <cp:lastModifiedBy>Alina Dreve Wise</cp:lastModifiedBy>
  <cp:revision>4</cp:revision>
  <cp:lastPrinted>2019-11-21T17:06:00Z</cp:lastPrinted>
  <dcterms:created xsi:type="dcterms:W3CDTF">2021-05-02T14:42:00Z</dcterms:created>
  <dcterms:modified xsi:type="dcterms:W3CDTF">2021-05-04T11:45:00Z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0x010100707CF5717411B34DBC7FBB4EDC36CAAB</vt:lpwstr>
  </property>
</Properties>
</file>